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9" w:rsidRPr="000903DC" w:rsidRDefault="00A76539" w:rsidP="008136EC">
      <w:pPr>
        <w:jc w:val="center"/>
      </w:pPr>
    </w:p>
    <w:p w:rsidR="00A76539" w:rsidRPr="000903DC" w:rsidRDefault="00A76539" w:rsidP="00A04C71">
      <w:pPr>
        <w:jc w:val="center"/>
      </w:pPr>
    </w:p>
    <w:p w:rsidR="00A76539" w:rsidRPr="000903DC" w:rsidRDefault="00A76539">
      <w:pPr>
        <w:pStyle w:val="DecHTitle"/>
      </w:pPr>
      <w:r>
        <w:rPr>
          <w:szCs w:val="24"/>
        </w:rPr>
        <w:t>DEUXIÈME SECTION</w:t>
      </w:r>
    </w:p>
    <w:p w:rsidR="00A76539" w:rsidRPr="000903DC" w:rsidRDefault="00A76539" w:rsidP="00DC44E5">
      <w:pPr>
        <w:pStyle w:val="DecHTitle"/>
        <w:rPr>
          <w:caps/>
          <w:sz w:val="32"/>
        </w:rPr>
      </w:pPr>
      <w:r w:rsidRPr="000903DC">
        <w:t>DÉCISION</w:t>
      </w:r>
    </w:p>
    <w:p w:rsidR="00A76539" w:rsidRPr="00951231" w:rsidRDefault="00A76539" w:rsidP="00DD2564">
      <w:pPr>
        <w:pStyle w:val="ECHRTitleCentre2"/>
      </w:pPr>
      <w:r w:rsidRPr="00951231">
        <w:t>Requête n</w:t>
      </w:r>
      <w:r w:rsidRPr="00951231">
        <w:rPr>
          <w:vertAlign w:val="superscript"/>
        </w:rPr>
        <w:t>o</w:t>
      </w:r>
      <w:r w:rsidRPr="00951231">
        <w:t xml:space="preserve"> 58511/13</w:t>
      </w:r>
      <w:r w:rsidRPr="00951231">
        <w:br/>
        <w:t>Maria MIGLIORE contre l</w:t>
      </w:r>
      <w:r>
        <w:t>’</w:t>
      </w:r>
      <w:r w:rsidRPr="00951231">
        <w:t>Italie</w:t>
      </w:r>
      <w:r w:rsidRPr="00951231">
        <w:rPr>
          <w:sz w:val="20"/>
          <w:lang w:eastAsia="en-GB"/>
        </w:rPr>
        <w:br/>
      </w:r>
      <w:r w:rsidRPr="00951231">
        <w:t>et 2 autres requêtes</w:t>
      </w:r>
      <w:r w:rsidRPr="00951231">
        <w:br/>
        <w:t>(voir liste en annexe)</w:t>
      </w:r>
    </w:p>
    <w:p w:rsidR="00A76539" w:rsidRPr="00261CBA" w:rsidRDefault="00A76539" w:rsidP="00710D45">
      <w:pPr>
        <w:pStyle w:val="ECHRPara"/>
      </w:pPr>
      <w:r w:rsidRPr="00261CBA">
        <w:t>La Cour européenne des droits de l</w:t>
      </w:r>
      <w:r>
        <w:t>’</w:t>
      </w:r>
      <w:r w:rsidRPr="00261CBA">
        <w:t>homme (</w:t>
      </w:r>
      <w:r>
        <w:t>deuxième section</w:t>
      </w:r>
      <w:r w:rsidRPr="00261CBA">
        <w:t xml:space="preserve">), siégeant le </w:t>
      </w:r>
      <w:r>
        <w:t>12 novembre 2013</w:t>
      </w:r>
      <w:r w:rsidRPr="00261CBA">
        <w:t xml:space="preserve"> en une </w:t>
      </w:r>
      <w:r>
        <w:t>Chambre</w:t>
      </w:r>
      <w:r w:rsidRPr="00261CBA">
        <w:t xml:space="preserve"> composée de :</w:t>
      </w:r>
    </w:p>
    <w:p w:rsidR="00A76539" w:rsidRPr="00F702D1" w:rsidRDefault="00A76539" w:rsidP="00FC2561">
      <w:pPr>
        <w:pStyle w:val="ECHRPara"/>
        <w:jc w:val="left"/>
      </w:pPr>
      <w:r w:rsidRPr="0009673E">
        <w:tab/>
        <w:t>Işıl</w:t>
      </w:r>
      <w:r>
        <w:t xml:space="preserve"> </w:t>
      </w:r>
      <w:r w:rsidRPr="0009673E">
        <w:t>Karakaş</w:t>
      </w:r>
      <w:r>
        <w:t>,</w:t>
      </w:r>
      <w:r w:rsidRPr="0009673E">
        <w:rPr>
          <w:i/>
        </w:rPr>
        <w:t xml:space="preserve"> présidente,</w:t>
      </w:r>
      <w:r>
        <w:rPr>
          <w:i/>
        </w:rPr>
        <w:br/>
      </w:r>
      <w:r w:rsidRPr="0009673E">
        <w:tab/>
        <w:t>Guido</w:t>
      </w:r>
      <w:r>
        <w:t xml:space="preserve"> </w:t>
      </w:r>
      <w:r w:rsidRPr="0009673E">
        <w:t>Raimondi</w:t>
      </w:r>
      <w:r>
        <w:t>,</w:t>
      </w:r>
      <w:r>
        <w:rPr>
          <w:i/>
        </w:rPr>
        <w:br/>
      </w:r>
      <w:r w:rsidRPr="0009673E">
        <w:tab/>
        <w:t>Peer</w:t>
      </w:r>
      <w:r>
        <w:t xml:space="preserve"> </w:t>
      </w:r>
      <w:r w:rsidRPr="0009673E">
        <w:t>Lorenzen</w:t>
      </w:r>
      <w:r>
        <w:t>,</w:t>
      </w:r>
      <w:r>
        <w:rPr>
          <w:i/>
        </w:rPr>
        <w:br/>
      </w:r>
      <w:r w:rsidRPr="0009673E">
        <w:tab/>
        <w:t>Dragoljub</w:t>
      </w:r>
      <w:r>
        <w:t xml:space="preserve"> </w:t>
      </w:r>
      <w:r w:rsidRPr="0009673E">
        <w:t>Popović</w:t>
      </w:r>
      <w:r>
        <w:t>,</w:t>
      </w:r>
      <w:r>
        <w:rPr>
          <w:i/>
        </w:rPr>
        <w:br/>
      </w:r>
      <w:r w:rsidRPr="0009673E">
        <w:tab/>
        <w:t>András</w:t>
      </w:r>
      <w:r>
        <w:t xml:space="preserve"> </w:t>
      </w:r>
      <w:r w:rsidRPr="0009673E">
        <w:t>Sajó</w:t>
      </w:r>
      <w:r>
        <w:t>,</w:t>
      </w:r>
      <w:r>
        <w:rPr>
          <w:i/>
        </w:rPr>
        <w:br/>
      </w:r>
      <w:r w:rsidRPr="0009673E">
        <w:tab/>
        <w:t>Paulo</w:t>
      </w:r>
      <w:r>
        <w:t xml:space="preserve"> </w:t>
      </w:r>
      <w:r w:rsidRPr="0009673E">
        <w:t>Pinto de Albuquerque</w:t>
      </w:r>
      <w:r>
        <w:t>,</w:t>
      </w:r>
      <w:r>
        <w:rPr>
          <w:i/>
        </w:rPr>
        <w:br/>
      </w:r>
      <w:r w:rsidRPr="0009673E">
        <w:tab/>
        <w:t>Helen</w:t>
      </w:r>
      <w:r>
        <w:t xml:space="preserve"> </w:t>
      </w:r>
      <w:r w:rsidRPr="0009673E">
        <w:t>Keller</w:t>
      </w:r>
      <w:r>
        <w:t>,</w:t>
      </w:r>
      <w:r w:rsidRPr="0009673E">
        <w:rPr>
          <w:i/>
        </w:rPr>
        <w:t xml:space="preserve"> juges,</w:t>
      </w:r>
      <w:r>
        <w:rPr>
          <w:i/>
        </w:rPr>
        <w:br/>
      </w:r>
      <w:r w:rsidRPr="00261CBA">
        <w:t xml:space="preserve">et de </w:t>
      </w:r>
      <w:r>
        <w:t>Stanley</w:t>
      </w:r>
      <w:r w:rsidRPr="00261CBA">
        <w:t xml:space="preserve"> </w:t>
      </w:r>
      <w:r>
        <w:t>Naismith</w:t>
      </w:r>
      <w:r w:rsidRPr="00261CBA">
        <w:t xml:space="preserve">, </w:t>
      </w:r>
      <w:r w:rsidRPr="00261CBA">
        <w:rPr>
          <w:i/>
        </w:rPr>
        <w:t>greffier</w:t>
      </w:r>
      <w:r w:rsidRPr="00261CBA">
        <w:rPr>
          <w:i/>
          <w:iCs/>
        </w:rPr>
        <w:t xml:space="preserve"> d</w:t>
      </w:r>
      <w:r w:rsidRPr="00261CBA">
        <w:rPr>
          <w:i/>
        </w:rPr>
        <w:t>e section,</w:t>
      </w:r>
    </w:p>
    <w:p w:rsidR="00A76539" w:rsidRPr="00261CBA" w:rsidRDefault="00A76539" w:rsidP="00710D45">
      <w:pPr>
        <w:pStyle w:val="ECHRPara"/>
      </w:pPr>
      <w:r w:rsidRPr="00261CBA">
        <w:t>Vu les requêtes susmentionnées introduite</w:t>
      </w:r>
      <w:r>
        <w:t xml:space="preserve"> le 14 juin, les 19 et 29 juillet 2013</w:t>
      </w:r>
      <w:r w:rsidRPr="00261CBA">
        <w:t>,</w:t>
      </w:r>
    </w:p>
    <w:p w:rsidR="00A76539" w:rsidRDefault="00A76539" w:rsidP="00710D45">
      <w:pPr>
        <w:pStyle w:val="ECHRPara"/>
      </w:pPr>
      <w:r w:rsidRPr="00261CBA">
        <w:t>Après en avoir délibéré, rend la décision suivante :</w:t>
      </w:r>
    </w:p>
    <w:p w:rsidR="00A76539" w:rsidRDefault="00A76539">
      <w:pPr>
        <w:jc w:val="left"/>
        <w:rPr>
          <w:lang w:val="fr-FR" w:eastAsia="fr-FR"/>
        </w:rPr>
      </w:pPr>
    </w:p>
    <w:p w:rsidR="00A76539" w:rsidRPr="009B447D" w:rsidRDefault="00A76539" w:rsidP="00710D45">
      <w:pPr>
        <w:pStyle w:val="ECHRTitle1"/>
      </w:pPr>
      <w:r w:rsidRPr="009B447D">
        <w:t>EN FAIT</w:t>
      </w:r>
    </w:p>
    <w:p w:rsidR="00A76539" w:rsidRDefault="00A76539" w:rsidP="00710D45">
      <w:pPr>
        <w:pStyle w:val="ECHRPara"/>
      </w:pPr>
      <w:r>
        <w:t>1.  </w:t>
      </w:r>
      <w:r w:rsidRPr="00F702D1">
        <w:t>La liste des parties requérantes figure en annexe</w:t>
      </w:r>
      <w:r>
        <w:t xml:space="preserve">. Ils ont été representés </w:t>
      </w:r>
      <w:r w:rsidRPr="00F702D1">
        <w:t>devant la Cour</w:t>
      </w:r>
      <w:r>
        <w:t xml:space="preserve"> </w:t>
      </w:r>
      <w:r w:rsidRPr="00F702D1">
        <w:t>par M</w:t>
      </w:r>
      <w:r w:rsidRPr="00F702D1">
        <w:rPr>
          <w:vertAlign w:val="superscript"/>
        </w:rPr>
        <w:t>e</w:t>
      </w:r>
      <w:r w:rsidRPr="00F702D1">
        <w:t> </w:t>
      </w:r>
      <w:r>
        <w:t>A.</w:t>
      </w:r>
      <w:r w:rsidRPr="00F702D1">
        <w:t xml:space="preserve"> </w:t>
      </w:r>
      <w:r>
        <w:t>Marra</w:t>
      </w:r>
      <w:r w:rsidRPr="00F702D1">
        <w:t xml:space="preserve"> </w:t>
      </w:r>
      <w:r>
        <w:t>(</w:t>
      </w:r>
      <w:r w:rsidRPr="00F702D1">
        <w:t xml:space="preserve">avocat à </w:t>
      </w:r>
      <w:r>
        <w:t>Naples)</w:t>
      </w:r>
      <w:r w:rsidRPr="00F702D1">
        <w:t>.</w:t>
      </w:r>
    </w:p>
    <w:p w:rsidR="00A76539" w:rsidRPr="00F702D1" w:rsidRDefault="00A76539" w:rsidP="00710D45">
      <w:pPr>
        <w:pStyle w:val="ECHRPara"/>
      </w:pPr>
      <w:r>
        <w:t>2.  </w:t>
      </w:r>
      <w:r w:rsidRPr="00261CBA">
        <w:t>Les faits de la cause</w:t>
      </w:r>
      <w:r>
        <w:t xml:space="preserve"> </w:t>
      </w:r>
      <w:r w:rsidRPr="00261CBA">
        <w:t>peuvent se résumer comme suit.</w:t>
      </w:r>
    </w:p>
    <w:p w:rsidR="00A76539" w:rsidRDefault="00A76539" w:rsidP="00710D45">
      <w:pPr>
        <w:pStyle w:val="ECHRHeading2"/>
        <w:outlineLvl w:val="0"/>
      </w:pPr>
      <w:r w:rsidRPr="009B447D">
        <w:t>A.  </w:t>
      </w:r>
      <w:r>
        <w:t>Faits communs aux requêtes</w:t>
      </w:r>
    </w:p>
    <w:p w:rsidR="00A76539" w:rsidRDefault="00A76539" w:rsidP="00710D45">
      <w:pPr>
        <w:pStyle w:val="ECHRPara"/>
      </w:pPr>
      <w:r>
        <w:t>3.  Les requérants ont été partie à des procédures concernant le montant de leur indemnité de chômage (requêtes n</w:t>
      </w:r>
      <w:r>
        <w:rPr>
          <w:vertAlign w:val="superscript"/>
        </w:rPr>
        <w:t xml:space="preserve">os </w:t>
      </w:r>
      <w:r>
        <w:t>58511/13 et 59987/13) où les intérêts dus pour le retard dans le paiement de celle-ci (requête n</w:t>
      </w:r>
      <w:r>
        <w:rPr>
          <w:vertAlign w:val="superscript"/>
        </w:rPr>
        <w:t>o </w:t>
      </w:r>
      <w:r>
        <w:t>59971/13).</w:t>
      </w:r>
    </w:p>
    <w:p w:rsidR="00A76539" w:rsidRPr="00E80E74" w:rsidRDefault="00A76539" w:rsidP="00710D45">
      <w:pPr>
        <w:pStyle w:val="ECHRPara"/>
      </w:pPr>
      <w:r>
        <w:t>4.  Ils ont contesté la durée de ces procédures au moyen du recours « Pinto ».</w:t>
      </w:r>
    </w:p>
    <w:p w:rsidR="00A76539" w:rsidRDefault="00A76539" w:rsidP="00710D45">
      <w:pPr>
        <w:pStyle w:val="ECHRHeading2"/>
        <w:outlineLvl w:val="0"/>
      </w:pPr>
      <w:r w:rsidRPr="009B447D">
        <w:t>B. </w:t>
      </w:r>
      <w:r>
        <w:t>Faits particuliers à chaque requête</w:t>
      </w:r>
    </w:p>
    <w:p w:rsidR="00A76539" w:rsidRDefault="00A76539" w:rsidP="00710D45">
      <w:pPr>
        <w:pStyle w:val="ECHRHeading3"/>
      </w:pPr>
      <w:r>
        <w:t>1.  Requêtes n</w:t>
      </w:r>
      <w:r>
        <w:rPr>
          <w:vertAlign w:val="superscript"/>
        </w:rPr>
        <w:t>os</w:t>
      </w:r>
      <w:r>
        <w:t xml:space="preserve"> 48567/07 (Migliore) et 58511/13 (Migliore II)</w:t>
      </w:r>
    </w:p>
    <w:p w:rsidR="00A76539" w:rsidRPr="00E646EC" w:rsidRDefault="00A76539" w:rsidP="00710D45">
      <w:pPr>
        <w:pStyle w:val="ECHRPara"/>
      </w:pPr>
      <w:r>
        <w:t>5</w:t>
      </w:r>
      <w:r w:rsidRPr="00E646EC">
        <w:t>. Par une décision du 2 janvier 2006 (R.G.</w:t>
      </w:r>
      <w:r>
        <w:t xml:space="preserve"> n</w:t>
      </w:r>
      <w:r>
        <w:rPr>
          <w:vertAlign w:val="superscript"/>
        </w:rPr>
        <w:t>o</w:t>
      </w:r>
      <w:r w:rsidRPr="00E646EC">
        <w:t xml:space="preserve"> 51275/05)</w:t>
      </w:r>
      <w:r>
        <w:t>,</w:t>
      </w:r>
      <w:r w:rsidRPr="00E646EC">
        <w:t xml:space="preserve"> la cour d</w:t>
      </w:r>
      <w:r>
        <w:t>’</w:t>
      </w:r>
      <w:r w:rsidRPr="00E646EC">
        <w:t xml:space="preserve">appel </w:t>
      </w:r>
      <w:r>
        <w:t xml:space="preserve">« Pinto » </w:t>
      </w:r>
      <w:r w:rsidRPr="00E646EC">
        <w:t>de Rome  constata la durée déraisonnable de la procédure principale et accorda à la requérante 1 900 EUR à titre de dommage moral.</w:t>
      </w:r>
    </w:p>
    <w:p w:rsidR="00A76539" w:rsidRDefault="00A76539" w:rsidP="00710D45">
      <w:pPr>
        <w:pStyle w:val="ECHRPara"/>
      </w:pPr>
      <w:r>
        <w:t>6.  Le 29 octobre 2007, la requérante saisit la Cour (requête n</w:t>
      </w:r>
      <w:r>
        <w:rPr>
          <w:vertAlign w:val="superscript"/>
        </w:rPr>
        <w:t>o</w:t>
      </w:r>
      <w:r>
        <w:t> 48567/07). Invoquant les articles 6 § 1, 13 et 17 de la Convention ainsi que l’article 1 du Protocole n</w:t>
      </w:r>
      <w:r w:rsidRPr="00B31208">
        <w:rPr>
          <w:vertAlign w:val="superscript"/>
        </w:rPr>
        <w:t>o</w:t>
      </w:r>
      <w:r>
        <w:t xml:space="preserve"> 1, elle se plaignait de la non-exécution de la décision « Pinto » et de l’ineffectivité du recours « Pinto ».</w:t>
      </w:r>
    </w:p>
    <w:p w:rsidR="00A76539" w:rsidRPr="000F3088" w:rsidRDefault="00A76539" w:rsidP="00710D45">
      <w:pPr>
        <w:pStyle w:val="ECHRPara"/>
      </w:pPr>
      <w:r>
        <w:t>7.  Elle demandait 2 625 EUR, à titre de dommage moral découlant de la non-exécution « Pinto », en sus de 125 EUR pour chaque mois de retard allant de l’introduction de sa requête jusqu’au paiement du montant « Pinto », ainsi qu’un forfait de 2 000 EUR pour l’ineffectivité du recours « Pinto ». Elle demandait, en outre, le remboursement des frais et dépens que son avocat aurait anticipés dans le cadre de la procédure « Pinto » et d’une procédure d’exécution entreprise par la suite auprès du tribunal de Naples afin d’obtenir le paiement du montant « Pinto ».</w:t>
      </w:r>
    </w:p>
    <w:p w:rsidR="00A76539" w:rsidRDefault="00A76539" w:rsidP="00710D45">
      <w:pPr>
        <w:pStyle w:val="ECHRPara"/>
      </w:pPr>
      <w:r>
        <w:t>8.  La décision « Pinto » fut exécutée le 14 février 2013, suite à une saisie-arrêt auprès du tribunal de Rome (procédure d’exécution R.G.  n</w:t>
      </w:r>
      <w:r w:rsidRPr="008B50BD">
        <w:rPr>
          <w:vertAlign w:val="superscript"/>
        </w:rPr>
        <w:t>o</w:t>
      </w:r>
      <w:r>
        <w:t> 1229/12) ; la requérante obtint le paiement de 2 215,91 EUR.</w:t>
      </w:r>
    </w:p>
    <w:p w:rsidR="00A76539" w:rsidRDefault="00A76539" w:rsidP="00710D45">
      <w:pPr>
        <w:pStyle w:val="ECHRPara"/>
      </w:pPr>
      <w:r>
        <w:t>9.  Le 19 juillet 2013, la requérante a saisi encore une fois la Cour (requête n</w:t>
      </w:r>
      <w:r>
        <w:rPr>
          <w:vertAlign w:val="superscript"/>
        </w:rPr>
        <w:t>o</w:t>
      </w:r>
      <w:r>
        <w:t xml:space="preserve"> 58511/13). Invoquant les articles 6 § 1, 13 et 17 de la Convention ainsi que l’article 1 du Protocole n</w:t>
      </w:r>
      <w:r w:rsidRPr="00B31208">
        <w:rPr>
          <w:vertAlign w:val="superscript"/>
        </w:rPr>
        <w:t>o</w:t>
      </w:r>
      <w:r>
        <w:t xml:space="preserve"> 1,  elle se plaignait du retard dans l’exécution de la décision « Pinto » et de l’ineffectivité du recours « Pinto ».</w:t>
      </w:r>
    </w:p>
    <w:p w:rsidR="00A76539" w:rsidRDefault="00A76539" w:rsidP="00710D45">
      <w:pPr>
        <w:pStyle w:val="ECHRPara"/>
      </w:pPr>
      <w:r>
        <w:t>10.  Elle demandait 10 625 EUR à titre de dommage moral découlant du retard dans l’exécution de la décision « Pinto », en sus d’un forfait de 2 000 EUR pour l’ineffectivité du recours « Pinto ». Elle demandait, en outre, le remboursement des frais et dépens que son avocat aurait anticipés dans le cadre de la procédure d’exécution entreprise auprès du tribunal de Rome (R.G. n</w:t>
      </w:r>
      <w:r w:rsidRPr="008B50BD">
        <w:rPr>
          <w:vertAlign w:val="superscript"/>
        </w:rPr>
        <w:t>o</w:t>
      </w:r>
      <w:r>
        <w:t xml:space="preserve"> 1229/12).</w:t>
      </w:r>
    </w:p>
    <w:p w:rsidR="00A76539" w:rsidRDefault="00A76539" w:rsidP="00710D45">
      <w:pPr>
        <w:pStyle w:val="ECHRPara"/>
      </w:pPr>
      <w:r>
        <w:t>11.  Au titre VI du formulaire de la requête n</w:t>
      </w:r>
      <w:r>
        <w:rPr>
          <w:vertAlign w:val="superscript"/>
        </w:rPr>
        <w:t xml:space="preserve">o </w:t>
      </w:r>
      <w:r>
        <w:t>58511/13 (</w:t>
      </w:r>
      <w:r>
        <w:rPr>
          <w:i/>
        </w:rPr>
        <w:t>Autres instances internationales traitant ou ayant traité l’affaire</w:t>
      </w:r>
      <w:r>
        <w:t>) on lit ce qui suit :</w:t>
      </w:r>
    </w:p>
    <w:p w:rsidR="00A76539" w:rsidRDefault="00A76539" w:rsidP="00710D45">
      <w:pPr>
        <w:pStyle w:val="ECHRParaQuote"/>
      </w:pPr>
      <w:r>
        <w:t>« La requérante a déjà soumis une autre instance internationale ayant objet :</w:t>
      </w:r>
    </w:p>
    <w:p w:rsidR="00A76539" w:rsidRDefault="00A76539" w:rsidP="00710D45">
      <w:pPr>
        <w:pStyle w:val="ECHRParaQuote"/>
      </w:pPr>
      <w:r>
        <w:t xml:space="preserve"> – pour le dommage découlant du retard dans le paiement du droit de la cour d’appel ;</w:t>
      </w:r>
    </w:p>
    <w:p w:rsidR="00A76539" w:rsidRDefault="00A76539" w:rsidP="00710D45">
      <w:pPr>
        <w:pStyle w:val="ECHRParaQuote"/>
      </w:pPr>
      <w:r>
        <w:t xml:space="preserve"> – l’octroi d’un </w:t>
      </w:r>
      <w:r>
        <w:rPr>
          <w:i/>
        </w:rPr>
        <w:t>bonus</w:t>
      </w:r>
      <w:r>
        <w:t xml:space="preserve"> de 2 000 EUR comme prévu par la jurisprudence européenne dans les procédures du droit de travail ou des pensions, comme celle qui est en question en l’espèce ;</w:t>
      </w:r>
    </w:p>
    <w:p w:rsidR="00A76539" w:rsidRDefault="00A76539" w:rsidP="00710D45">
      <w:pPr>
        <w:pStyle w:val="ECHRParaQuote"/>
      </w:pPr>
      <w:r>
        <w:t xml:space="preserve"> – des dommages ultérieurs s’élevant à 2 000 EUR pour la frustration et l’anxiété subies après l’arrêt des cours italiennes ;</w:t>
      </w:r>
    </w:p>
    <w:p w:rsidR="00A76539" w:rsidRDefault="00A76539" w:rsidP="00710D45">
      <w:pPr>
        <w:pStyle w:val="ECHRParaQuote"/>
      </w:pPr>
      <w:r>
        <w:t xml:space="preserve"> – le remboursement des frais et dépens ainsi que des honoraires d’avocat pour cette procédure, avec distraction en faveur de l’avocat.</w:t>
      </w:r>
    </w:p>
    <w:p w:rsidR="00A76539" w:rsidRDefault="00A76539" w:rsidP="00710D45">
      <w:pPr>
        <w:pStyle w:val="ECHRParaQuote"/>
        <w:ind w:left="0" w:firstLine="567"/>
      </w:pPr>
      <w:r>
        <w:t>La requête précédente porte le n</w:t>
      </w:r>
      <w:r>
        <w:rPr>
          <w:vertAlign w:val="superscript"/>
        </w:rPr>
        <w:t>o</w:t>
      </w:r>
      <w:r>
        <w:t xml:space="preserve"> 48567/07.</w:t>
      </w:r>
    </w:p>
    <w:p w:rsidR="00A76539" w:rsidRDefault="00A76539" w:rsidP="00710D45">
      <w:pPr>
        <w:pStyle w:val="ECHRParaQuote"/>
      </w:pPr>
      <w:r>
        <w:t>La présente requête, ayant objet et contenu diffèrent, doit être traitée et décidée séparément et de manière autonome par rapport à celle déjà pendante, portant le n</w:t>
      </w:r>
      <w:r>
        <w:rPr>
          <w:vertAlign w:val="superscript"/>
        </w:rPr>
        <w:t>o</w:t>
      </w:r>
      <w:r>
        <w:t> 48567/07 ».</w:t>
      </w:r>
    </w:p>
    <w:p w:rsidR="00A76539" w:rsidRDefault="00A76539" w:rsidP="00710D45">
      <w:pPr>
        <w:pStyle w:val="ECHRHeading3"/>
      </w:pPr>
      <w:r>
        <w:t>2.  Requêtes n</w:t>
      </w:r>
      <w:r>
        <w:rPr>
          <w:vertAlign w:val="superscript"/>
        </w:rPr>
        <w:t>os</w:t>
      </w:r>
      <w:r>
        <w:t xml:space="preserve"> 46330/07 (</w:t>
      </w:r>
      <w:r w:rsidRPr="00B17EB3">
        <w:t>Gallo</w:t>
      </w:r>
      <w:r>
        <w:t>) et 59971/13 (Gallo II)</w:t>
      </w:r>
    </w:p>
    <w:p w:rsidR="00A76539" w:rsidRPr="00E646EC" w:rsidRDefault="00A76539" w:rsidP="00710D45">
      <w:pPr>
        <w:pStyle w:val="ECHRPara"/>
      </w:pPr>
      <w:r>
        <w:t>12.  </w:t>
      </w:r>
      <w:r w:rsidRPr="00E646EC">
        <w:t xml:space="preserve">Par une décision du </w:t>
      </w:r>
      <w:r>
        <w:t>6 décembre 2005</w:t>
      </w:r>
      <w:r w:rsidRPr="00E646EC">
        <w:t xml:space="preserve"> (R.G.</w:t>
      </w:r>
      <w:r>
        <w:t xml:space="preserve"> n</w:t>
      </w:r>
      <w:r>
        <w:rPr>
          <w:vertAlign w:val="superscript"/>
        </w:rPr>
        <w:t>o</w:t>
      </w:r>
      <w:r w:rsidRPr="00E646EC">
        <w:t xml:space="preserve"> </w:t>
      </w:r>
      <w:r>
        <w:t>50854/05</w:t>
      </w:r>
      <w:r w:rsidRPr="00E646EC">
        <w:t>)</w:t>
      </w:r>
      <w:r>
        <w:t>,</w:t>
      </w:r>
      <w:r w:rsidRPr="00E646EC">
        <w:t xml:space="preserve"> la cour d</w:t>
      </w:r>
      <w:r>
        <w:t>’</w:t>
      </w:r>
      <w:r w:rsidRPr="00E646EC">
        <w:t xml:space="preserve">appel </w:t>
      </w:r>
      <w:r>
        <w:t xml:space="preserve">« Pinto » </w:t>
      </w:r>
      <w:r w:rsidRPr="00E646EC">
        <w:t xml:space="preserve">de Rome  constata la durée déraisonnable de la procédure principale et accorda </w:t>
      </w:r>
      <w:r>
        <w:t>au requérant 5</w:t>
      </w:r>
      <w:r w:rsidRPr="00E646EC">
        <w:t>00 EUR à titre de dommage moral.</w:t>
      </w:r>
    </w:p>
    <w:p w:rsidR="00A76539" w:rsidRDefault="00A76539" w:rsidP="00710D45">
      <w:pPr>
        <w:pStyle w:val="ECHRPara"/>
      </w:pPr>
      <w:r>
        <w:t>13.  Le 16 octobre 2007, le requérant saisit la Cour (requête n</w:t>
      </w:r>
      <w:r>
        <w:rPr>
          <w:vertAlign w:val="superscript"/>
        </w:rPr>
        <w:t>o</w:t>
      </w:r>
      <w:r>
        <w:t> 46330/07). Invoquant les articles 6 § 1, 13 et 17 de la Convention ainsi que l’article 1 du Protocole n</w:t>
      </w:r>
      <w:r w:rsidRPr="00B31208">
        <w:rPr>
          <w:vertAlign w:val="superscript"/>
        </w:rPr>
        <w:t>o</w:t>
      </w:r>
      <w:r>
        <w:t xml:space="preserve"> 1, il se plaignait de la non-exécution de la décision « Pinto » et de l’ineffectivité du recours « Pinto ».</w:t>
      </w:r>
    </w:p>
    <w:p w:rsidR="00A76539" w:rsidRPr="000F3088" w:rsidRDefault="00A76539" w:rsidP="00710D45">
      <w:pPr>
        <w:pStyle w:val="ECHRPara"/>
      </w:pPr>
      <w:r>
        <w:t>14.  Il demandait 2 625 EUR, à titre de dommage moral découlant de la non-exécution « Pinto », en sus de 125 EUR pour chaque mois de retard allant de l’introduction de sa requête jusqu’au paiement du montant « Pinto », ainsi qu’un forfait de 2 000 EUR pour l’ineffectivité du recours « Pinto ». Il demandait, en outre, le remboursement des frais et dépens que son avocat aurait anticipés dans le cadre de la procédure « Pinto » et d’une procédure d’exécution entreprise par la suite auprès du tribunal de Naples afin d’obtenir le paiement du montant « Pinto ».</w:t>
      </w:r>
    </w:p>
    <w:p w:rsidR="00A76539" w:rsidRDefault="00A76539" w:rsidP="00710D45">
      <w:pPr>
        <w:pStyle w:val="ECHRPara"/>
      </w:pPr>
      <w:r>
        <w:t>15.  La décision « Pinto » fut exécutée le 21 janvier 2013, suite à une saisie-arrêt auprès du tribunal de Rome (procédure d’exécution R.G. n</w:t>
      </w:r>
      <w:r w:rsidRPr="008B50BD">
        <w:rPr>
          <w:vertAlign w:val="superscript"/>
        </w:rPr>
        <w:t>o</w:t>
      </w:r>
      <w:r>
        <w:t> 47918/11) ; le requérant obtint le paiement de 583,48 EUR.</w:t>
      </w:r>
    </w:p>
    <w:p w:rsidR="00A76539" w:rsidRDefault="00A76539" w:rsidP="00710D45">
      <w:pPr>
        <w:pStyle w:val="ECHRPara"/>
      </w:pPr>
      <w:r>
        <w:t>16.  Le 14 juin 2013, le requérant a saisi encore une fois la Cour (requête n</w:t>
      </w:r>
      <w:r>
        <w:rPr>
          <w:vertAlign w:val="superscript"/>
        </w:rPr>
        <w:t>o</w:t>
      </w:r>
      <w:r>
        <w:t xml:space="preserve"> 59971/13). Invoquant les articles 6 § 1, 13 et 17 de la Convention ainsi que l’article 1 du Protocole n</w:t>
      </w:r>
      <w:r w:rsidRPr="00B31208">
        <w:rPr>
          <w:vertAlign w:val="superscript"/>
        </w:rPr>
        <w:t>o</w:t>
      </w:r>
      <w:r>
        <w:t xml:space="preserve"> 1,  il se plaignait du retard dans l’exécution de la décision « Pinto » et de l’ineffectivité du recours « Pinto ».</w:t>
      </w:r>
    </w:p>
    <w:p w:rsidR="00A76539" w:rsidRDefault="00A76539" w:rsidP="00710D45">
      <w:pPr>
        <w:pStyle w:val="ECHRPara"/>
      </w:pPr>
      <w:r>
        <w:t>17.  Il demandait 10 625 EUR à titre de dommage moral découlant du retard dans l’exécution de la décision « Pinto », en sus d’un forfait de 2 000 EUR pour l’ineffectivité du recours « Pinto ». Il demandait, en outre, le remboursement des frais et dépens que son avocat aurait anticipés dans le cadre de la procédure d’exécution entreprise auprès du tribunal de Rome (R.G. n</w:t>
      </w:r>
      <w:r w:rsidRPr="008B50BD">
        <w:rPr>
          <w:vertAlign w:val="superscript"/>
        </w:rPr>
        <w:t>o</w:t>
      </w:r>
      <w:r>
        <w:rPr>
          <w:vertAlign w:val="superscript"/>
        </w:rPr>
        <w:t xml:space="preserve"> </w:t>
      </w:r>
      <w:r>
        <w:t>47918/11).</w:t>
      </w:r>
    </w:p>
    <w:p w:rsidR="00A76539" w:rsidRDefault="00A76539" w:rsidP="00710D45">
      <w:pPr>
        <w:pStyle w:val="ECHRPara"/>
      </w:pPr>
      <w:r>
        <w:t>18.  Au titre VI du formulaire de la requête n</w:t>
      </w:r>
      <w:r>
        <w:rPr>
          <w:vertAlign w:val="superscript"/>
        </w:rPr>
        <w:t xml:space="preserve">o </w:t>
      </w:r>
      <w:r>
        <w:t>58511/13 (</w:t>
      </w:r>
      <w:r>
        <w:rPr>
          <w:i/>
        </w:rPr>
        <w:t>Autres instances internationales traitant ou ayant traité l’affaire</w:t>
      </w:r>
      <w:r>
        <w:t>) on lit ce qui suit :</w:t>
      </w:r>
    </w:p>
    <w:p w:rsidR="00A76539" w:rsidRDefault="00A76539" w:rsidP="00710D45">
      <w:pPr>
        <w:pStyle w:val="ECHRParaQuote"/>
      </w:pPr>
      <w:r>
        <w:t>« Le requérant a déjà soumis une autre instance internationale ayant objet :</w:t>
      </w:r>
    </w:p>
    <w:p w:rsidR="00A76539" w:rsidRDefault="00A76539" w:rsidP="00710D45">
      <w:pPr>
        <w:pStyle w:val="ECHRParaQuote"/>
      </w:pPr>
      <w:r>
        <w:t xml:space="preserve"> – pour le dommage découlant du retard dans le paiement du droit de la cour d’appel ;</w:t>
      </w:r>
    </w:p>
    <w:p w:rsidR="00A76539" w:rsidRDefault="00A76539" w:rsidP="00710D45">
      <w:pPr>
        <w:pStyle w:val="ECHRParaQuote"/>
      </w:pPr>
      <w:r>
        <w:t xml:space="preserve"> – l’octroi d’un </w:t>
      </w:r>
      <w:r>
        <w:rPr>
          <w:i/>
        </w:rPr>
        <w:t>bonus</w:t>
      </w:r>
      <w:r>
        <w:t xml:space="preserve"> de 2 000 EUR comme prévu par la jurisprudence européenne dans les procédures du droit de travail ou des pensions, comme celle qui est en question en l’espèce ;</w:t>
      </w:r>
    </w:p>
    <w:p w:rsidR="00A76539" w:rsidRDefault="00A76539" w:rsidP="00710D45">
      <w:pPr>
        <w:pStyle w:val="ECHRParaQuote"/>
      </w:pPr>
      <w:r>
        <w:t xml:space="preserve"> – des dommages ultérieurs s’élevant à 2 000 EUR pour la frustration et l’anxiété subies après l’arrêt des cours italiennes ;</w:t>
      </w:r>
    </w:p>
    <w:p w:rsidR="00A76539" w:rsidRDefault="00A76539" w:rsidP="00710D45">
      <w:pPr>
        <w:pStyle w:val="ECHRParaQuote"/>
      </w:pPr>
      <w:r>
        <w:t xml:space="preserve"> – le remboursement des frais et dépens ainsi que des honoraires d’avocat pour cette procédure, avec distraction en faveur de l’avocat.</w:t>
      </w:r>
    </w:p>
    <w:p w:rsidR="00A76539" w:rsidRDefault="00A76539" w:rsidP="00710D45">
      <w:pPr>
        <w:pStyle w:val="ECHRParaQuote"/>
        <w:ind w:left="0" w:firstLine="567"/>
      </w:pPr>
      <w:r>
        <w:t>La requête précédente porte le n</w:t>
      </w:r>
      <w:r>
        <w:rPr>
          <w:vertAlign w:val="superscript"/>
        </w:rPr>
        <w:t>o</w:t>
      </w:r>
      <w:r>
        <w:t xml:space="preserve"> 46330/07.</w:t>
      </w:r>
    </w:p>
    <w:p w:rsidR="00A76539" w:rsidRDefault="00A76539" w:rsidP="00710D45">
      <w:pPr>
        <w:pStyle w:val="ECHRParaQuote"/>
      </w:pPr>
      <w:r>
        <w:t>La présente requête, ayant objet et contenu diffèrent, doit être traitée et décidée séparément et de manière autonome par rapport à celle déjà pendante, portant le n</w:t>
      </w:r>
      <w:r>
        <w:rPr>
          <w:vertAlign w:val="superscript"/>
        </w:rPr>
        <w:t>o</w:t>
      </w:r>
      <w:r>
        <w:t> 46330/07 ».</w:t>
      </w:r>
    </w:p>
    <w:p w:rsidR="00A76539" w:rsidRDefault="00A76539" w:rsidP="00710D45">
      <w:pPr>
        <w:pStyle w:val="ECHRHeading3"/>
        <w:rPr>
          <w:i w:val="0"/>
        </w:rPr>
      </w:pPr>
      <w:r>
        <w:t>3.  Requêtes n</w:t>
      </w:r>
      <w:r>
        <w:rPr>
          <w:vertAlign w:val="superscript"/>
        </w:rPr>
        <w:t>os</w:t>
      </w:r>
      <w:r>
        <w:t xml:space="preserve"> 49807/07 (Busiello) et 59987/13 (Busiello II)</w:t>
      </w:r>
    </w:p>
    <w:p w:rsidR="00A76539" w:rsidRPr="00E646EC" w:rsidRDefault="00A76539" w:rsidP="00710D45">
      <w:pPr>
        <w:pStyle w:val="ECHRPara"/>
      </w:pPr>
      <w:r>
        <w:t>19.  </w:t>
      </w:r>
      <w:r w:rsidRPr="00E646EC">
        <w:t xml:space="preserve">Par une décision du </w:t>
      </w:r>
      <w:r>
        <w:t>2 janvier 2006</w:t>
      </w:r>
      <w:r w:rsidRPr="00E646EC">
        <w:t xml:space="preserve"> (R.G.</w:t>
      </w:r>
      <w:r>
        <w:t xml:space="preserve"> n</w:t>
      </w:r>
      <w:r>
        <w:rPr>
          <w:vertAlign w:val="superscript"/>
        </w:rPr>
        <w:t>o</w:t>
      </w:r>
      <w:r w:rsidRPr="00E646EC">
        <w:t xml:space="preserve"> </w:t>
      </w:r>
      <w:r>
        <w:t>51263/05</w:t>
      </w:r>
      <w:r w:rsidRPr="00E646EC">
        <w:t>) la cour d</w:t>
      </w:r>
      <w:r>
        <w:t>’</w:t>
      </w:r>
      <w:r w:rsidRPr="00E646EC">
        <w:t xml:space="preserve">appel </w:t>
      </w:r>
      <w:r>
        <w:t xml:space="preserve">« Pinto » </w:t>
      </w:r>
      <w:r w:rsidRPr="00E646EC">
        <w:t xml:space="preserve">de Rome  constata la durée déraisonnable de la procédure principale et accorda </w:t>
      </w:r>
      <w:r>
        <w:t>au requérant 1 900</w:t>
      </w:r>
      <w:r w:rsidRPr="00E646EC">
        <w:t xml:space="preserve"> EUR à titre de dommage moral.</w:t>
      </w:r>
    </w:p>
    <w:p w:rsidR="00A76539" w:rsidRDefault="00A76539" w:rsidP="00710D45">
      <w:pPr>
        <w:pStyle w:val="ECHRPara"/>
      </w:pPr>
      <w:r>
        <w:t>20.  Le 30 octobre 2007, la requérante saisit la Cour (requête n</w:t>
      </w:r>
      <w:r>
        <w:rPr>
          <w:vertAlign w:val="superscript"/>
        </w:rPr>
        <w:t>o</w:t>
      </w:r>
      <w:r>
        <w:t> 48908/07). Invoquant les articles 6 § 1, 13 et 17 de la Convention ainsi que l’article 1 du Protocole n</w:t>
      </w:r>
      <w:r w:rsidRPr="00B31208">
        <w:rPr>
          <w:vertAlign w:val="superscript"/>
        </w:rPr>
        <w:t>o</w:t>
      </w:r>
      <w:r>
        <w:t xml:space="preserve"> 1, elle se plaignait de la non-exécution de la décision « Pinto » et de l’ineffectivité du recours « Pinto ».</w:t>
      </w:r>
    </w:p>
    <w:p w:rsidR="00A76539" w:rsidRPr="00F80514" w:rsidRDefault="00A76539" w:rsidP="00710D45">
      <w:pPr>
        <w:pStyle w:val="ECHRPara"/>
        <w:rPr>
          <w:szCs w:val="24"/>
        </w:rPr>
      </w:pPr>
      <w:r>
        <w:t xml:space="preserve">21.  Elle demandait 2 625 EUR, à titre de dommage moral découlant de la non-exécution de la décision « Pinto », en sus de 125 EUR pour chaque mois de retard allant de l’introduction de sa requête jusqu’au paiement du montant « Pinto », ainsi qu’un forfait de 2 000 EUR pour l’ineffectivité du recours « Pinto ». Elle demandait, en outre, le remboursement des frais et dépens que son avocat aurait anticipés dans le cadre de la procédure « Pinto » et d’une procédure d’exécution entreprise par la suite auprès du tribunal de Naples afin </w:t>
      </w:r>
      <w:r w:rsidRPr="00F80514">
        <w:rPr>
          <w:szCs w:val="24"/>
        </w:rPr>
        <w:t>d</w:t>
      </w:r>
      <w:r>
        <w:rPr>
          <w:szCs w:val="24"/>
        </w:rPr>
        <w:t>’</w:t>
      </w:r>
      <w:r w:rsidRPr="00F80514">
        <w:rPr>
          <w:szCs w:val="24"/>
        </w:rPr>
        <w:t>obtenir le paiement du montant « Pinto ».</w:t>
      </w:r>
    </w:p>
    <w:p w:rsidR="00A76539" w:rsidRDefault="00A76539" w:rsidP="00710D45">
      <w:pPr>
        <w:pStyle w:val="ECHRPara"/>
        <w:rPr>
          <w:snapToGrid w:val="0"/>
          <w:szCs w:val="24"/>
        </w:rPr>
      </w:pPr>
      <w:r>
        <w:rPr>
          <w:szCs w:val="24"/>
        </w:rPr>
        <w:t>22</w:t>
      </w:r>
      <w:r w:rsidRPr="00F80514">
        <w:rPr>
          <w:szCs w:val="24"/>
        </w:rPr>
        <w:t>.  Par l</w:t>
      </w:r>
      <w:r>
        <w:rPr>
          <w:szCs w:val="24"/>
        </w:rPr>
        <w:t>’</w:t>
      </w:r>
      <w:r w:rsidRPr="00F80514">
        <w:rPr>
          <w:szCs w:val="24"/>
        </w:rPr>
        <w:t xml:space="preserve">arrêt </w:t>
      </w:r>
      <w:r w:rsidRPr="00F80514">
        <w:rPr>
          <w:i/>
          <w:szCs w:val="24"/>
        </w:rPr>
        <w:t>Gaglione et autres c. Italie</w:t>
      </w:r>
      <w:r w:rsidRPr="00F80514">
        <w:rPr>
          <w:szCs w:val="24"/>
        </w:rPr>
        <w:t>, n</w:t>
      </w:r>
      <w:r w:rsidRPr="00F80514">
        <w:rPr>
          <w:szCs w:val="24"/>
          <w:vertAlign w:val="superscript"/>
        </w:rPr>
        <w:t>os</w:t>
      </w:r>
      <w:r w:rsidRPr="00F80514">
        <w:rPr>
          <w:szCs w:val="24"/>
        </w:rPr>
        <w:t xml:space="preserve"> </w:t>
      </w:r>
      <w:r w:rsidRPr="00F80514">
        <w:rPr>
          <w:color w:val="000000"/>
          <w:szCs w:val="24"/>
          <w:lang w:eastAsia="en-GB"/>
        </w:rPr>
        <w:t>45867/07 et autres</w:t>
      </w:r>
      <w:r w:rsidRPr="00F80514">
        <w:rPr>
          <w:snapToGrid w:val="0"/>
          <w:szCs w:val="24"/>
        </w:rPr>
        <w:t xml:space="preserve"> </w:t>
      </w:r>
      <w:r>
        <w:rPr>
          <w:snapToGrid w:val="0"/>
          <w:szCs w:val="24"/>
        </w:rPr>
        <w:t>(21 </w:t>
      </w:r>
      <w:r w:rsidRPr="00F80514">
        <w:rPr>
          <w:szCs w:val="24"/>
        </w:rPr>
        <w:t>décembre</w:t>
      </w:r>
      <w:r w:rsidRPr="00F80514">
        <w:rPr>
          <w:snapToGrid w:val="0"/>
          <w:szCs w:val="24"/>
        </w:rPr>
        <w:t xml:space="preserve"> 2010</w:t>
      </w:r>
      <w:r>
        <w:rPr>
          <w:snapToGrid w:val="0"/>
          <w:szCs w:val="24"/>
        </w:rPr>
        <w:t>), la Cour</w:t>
      </w:r>
      <w:r w:rsidRPr="00F80514">
        <w:rPr>
          <w:snapToGrid w:val="0"/>
          <w:szCs w:val="24"/>
        </w:rPr>
        <w:t xml:space="preserve">, </w:t>
      </w:r>
      <w:r>
        <w:rPr>
          <w:snapToGrid w:val="0"/>
          <w:szCs w:val="24"/>
        </w:rPr>
        <w:t>se prononçant, entre autres, sur la requête n</w:t>
      </w:r>
      <w:r w:rsidRPr="008106D8">
        <w:rPr>
          <w:snapToGrid w:val="0"/>
          <w:szCs w:val="24"/>
          <w:vertAlign w:val="superscript"/>
        </w:rPr>
        <w:t>o</w:t>
      </w:r>
      <w:r>
        <w:rPr>
          <w:snapToGrid w:val="0"/>
          <w:szCs w:val="24"/>
        </w:rPr>
        <w:t xml:space="preserve"> 49807/07 </w:t>
      </w:r>
      <w:r w:rsidRPr="00F80514">
        <w:rPr>
          <w:snapToGrid w:val="0"/>
          <w:szCs w:val="24"/>
        </w:rPr>
        <w:t xml:space="preserve">de </w:t>
      </w:r>
      <w:r>
        <w:rPr>
          <w:snapToGrid w:val="0"/>
          <w:szCs w:val="24"/>
        </w:rPr>
        <w:t>M</w:t>
      </w:r>
      <w:r>
        <w:rPr>
          <w:snapToGrid w:val="0"/>
          <w:szCs w:val="24"/>
          <w:vertAlign w:val="superscript"/>
        </w:rPr>
        <w:t>me</w:t>
      </w:r>
      <w:r w:rsidRPr="00F80514">
        <w:rPr>
          <w:snapToGrid w:val="0"/>
          <w:szCs w:val="24"/>
        </w:rPr>
        <w:t xml:space="preserve"> </w:t>
      </w:r>
      <w:r>
        <w:rPr>
          <w:snapToGrid w:val="0"/>
          <w:szCs w:val="24"/>
        </w:rPr>
        <w:t>Busiello, représentée par M</w:t>
      </w:r>
      <w:r>
        <w:rPr>
          <w:snapToGrid w:val="0"/>
          <w:szCs w:val="24"/>
          <w:vertAlign w:val="superscript"/>
        </w:rPr>
        <w:t xml:space="preserve">e </w:t>
      </w:r>
      <w:r>
        <w:rPr>
          <w:snapToGrid w:val="0"/>
          <w:szCs w:val="24"/>
        </w:rPr>
        <w:t>A. Marra</w:t>
      </w:r>
      <w:r w:rsidRPr="00F80514">
        <w:rPr>
          <w:snapToGrid w:val="0"/>
          <w:szCs w:val="24"/>
        </w:rPr>
        <w:t xml:space="preserve">, </w:t>
      </w:r>
      <w:r>
        <w:rPr>
          <w:snapToGrid w:val="0"/>
          <w:szCs w:val="24"/>
        </w:rPr>
        <w:t xml:space="preserve">jugea </w:t>
      </w:r>
      <w:r w:rsidRPr="00F80514">
        <w:rPr>
          <w:snapToGrid w:val="0"/>
          <w:szCs w:val="24"/>
        </w:rPr>
        <w:t>que la non-exécution de la décision « Pinto » entra</w:t>
      </w:r>
      <w:r>
        <w:rPr>
          <w:snapToGrid w:val="0"/>
          <w:szCs w:val="24"/>
        </w:rPr>
        <w:t>î</w:t>
      </w:r>
      <w:r w:rsidRPr="00F80514">
        <w:rPr>
          <w:snapToGrid w:val="0"/>
          <w:szCs w:val="24"/>
        </w:rPr>
        <w:t>nai</w:t>
      </w:r>
      <w:r>
        <w:rPr>
          <w:snapToGrid w:val="0"/>
          <w:szCs w:val="24"/>
        </w:rPr>
        <w:t>t la violation des articles 6 § </w:t>
      </w:r>
      <w:r w:rsidRPr="00F80514">
        <w:rPr>
          <w:snapToGrid w:val="0"/>
          <w:szCs w:val="24"/>
        </w:rPr>
        <w:t>1 de la Convention et 1 du Protocole n</w:t>
      </w:r>
      <w:r w:rsidRPr="00F80514">
        <w:rPr>
          <w:snapToGrid w:val="0"/>
          <w:szCs w:val="24"/>
          <w:vertAlign w:val="superscript"/>
        </w:rPr>
        <w:t xml:space="preserve">o </w:t>
      </w:r>
      <w:r w:rsidRPr="00F80514">
        <w:rPr>
          <w:snapToGrid w:val="0"/>
          <w:szCs w:val="24"/>
        </w:rPr>
        <w:t>1</w:t>
      </w:r>
      <w:r>
        <w:rPr>
          <w:snapToGrid w:val="0"/>
          <w:szCs w:val="24"/>
        </w:rPr>
        <w:t xml:space="preserve"> et déclara irrecevable la requête pour le surplus. La Cour accorda, ainsi, à la requérante la somme forfaitaire de 200 EUR au titre du préjudice moral découlant des violations constatées.</w:t>
      </w:r>
    </w:p>
    <w:p w:rsidR="00A76539" w:rsidRDefault="00A76539" w:rsidP="00710D45">
      <w:pPr>
        <w:pStyle w:val="ECHRPara"/>
      </w:pPr>
      <w:r>
        <w:t>23.  La décision « Pinto » fut exécutée le 14 février 2013, suite à une saisie-arrêt auprès du tribunal de Rome (procédure d’exécution R.G. n</w:t>
      </w:r>
      <w:r w:rsidRPr="008B50BD">
        <w:rPr>
          <w:vertAlign w:val="superscript"/>
        </w:rPr>
        <w:t>o</w:t>
      </w:r>
      <w:r>
        <w:t> 1234/12) ; le requérant obtint le paiement de 2 214,31 EUR.</w:t>
      </w:r>
    </w:p>
    <w:p w:rsidR="00A76539" w:rsidRDefault="00A76539" w:rsidP="00710D45">
      <w:pPr>
        <w:pStyle w:val="ECHRPara"/>
      </w:pPr>
      <w:r>
        <w:t>24.  Le 29 juillet 2013, la requérante a saisi encore une fois la Cour (requête n</w:t>
      </w:r>
      <w:r>
        <w:rPr>
          <w:vertAlign w:val="superscript"/>
        </w:rPr>
        <w:t>o</w:t>
      </w:r>
      <w:r>
        <w:t xml:space="preserve"> 59987/13). Invoquant les articles 6 § 1, 13 et 17 de la Convention ainsi que l’article 1 du Protocole n</w:t>
      </w:r>
      <w:r w:rsidRPr="00B31208">
        <w:rPr>
          <w:vertAlign w:val="superscript"/>
        </w:rPr>
        <w:t>o</w:t>
      </w:r>
      <w:r>
        <w:t xml:space="preserve"> 1,  elle se plaignait du retard dans l’exécution de la décision « Pinto » et de l’ineffectivité du recours « Pinto ».</w:t>
      </w:r>
    </w:p>
    <w:p w:rsidR="00A76539" w:rsidRDefault="00A76539" w:rsidP="00710D45">
      <w:pPr>
        <w:pStyle w:val="ECHRPara"/>
      </w:pPr>
      <w:r>
        <w:t>25.  Elle demandait 10 625 EUR à titre de dommage moral découlant du retard dans l’exécution de la décision « Pinto », en sus d’un forfait de 2 000 EUR pour l’ineffectivité du recours « Pinto ». Elle demandait, en outre, le remboursement des frais et dépens que son avocat aurait anticipés dans le cadre de la procédure d’exécution entreprise auprès du tribunal de Rome (R.G. n</w:t>
      </w:r>
      <w:r w:rsidRPr="008B50BD">
        <w:rPr>
          <w:vertAlign w:val="superscript"/>
        </w:rPr>
        <w:t>o</w:t>
      </w:r>
      <w:r>
        <w:rPr>
          <w:vertAlign w:val="superscript"/>
        </w:rPr>
        <w:t xml:space="preserve"> </w:t>
      </w:r>
      <w:r>
        <w:t>1234/12).</w:t>
      </w:r>
    </w:p>
    <w:p w:rsidR="00A76539" w:rsidRDefault="00A76539" w:rsidP="00710D45">
      <w:pPr>
        <w:pStyle w:val="ECHRPara"/>
      </w:pPr>
      <w:r>
        <w:t>26.  Au titre VI du formulaire de la requête n</w:t>
      </w:r>
      <w:r>
        <w:rPr>
          <w:vertAlign w:val="superscript"/>
        </w:rPr>
        <w:t xml:space="preserve">o </w:t>
      </w:r>
      <w:r>
        <w:t>59987/13 (</w:t>
      </w:r>
      <w:r>
        <w:rPr>
          <w:i/>
        </w:rPr>
        <w:t>Autres instances internationales traitant ou ayant traité l’affaire</w:t>
      </w:r>
      <w:r>
        <w:t>) on lit ce qui suit :</w:t>
      </w:r>
    </w:p>
    <w:p w:rsidR="00A76539" w:rsidRDefault="00A76539" w:rsidP="00710D45">
      <w:pPr>
        <w:pStyle w:val="ECHRParaQuote"/>
      </w:pPr>
      <w:r>
        <w:t>« La requérante a déjà soumis une autre instance internationale ayant objet :</w:t>
      </w:r>
    </w:p>
    <w:p w:rsidR="00A76539" w:rsidRDefault="00A76539" w:rsidP="00710D45">
      <w:pPr>
        <w:pStyle w:val="ECHRParaQuote"/>
      </w:pPr>
      <w:r>
        <w:t xml:space="preserve"> – pour le dommage découlant du retard dans le paiement du droit de la cour d’appel ;</w:t>
      </w:r>
    </w:p>
    <w:p w:rsidR="00A76539" w:rsidRDefault="00A76539" w:rsidP="00710D45">
      <w:pPr>
        <w:pStyle w:val="ECHRParaQuote"/>
      </w:pPr>
      <w:r>
        <w:t xml:space="preserve"> – l’octroi d’un </w:t>
      </w:r>
      <w:r>
        <w:rPr>
          <w:i/>
        </w:rPr>
        <w:t>bonus</w:t>
      </w:r>
      <w:r>
        <w:t xml:space="preserve"> de 2 000 EUR comme prévu par la jurisprudence européenne dans les procédures du droit de travail ou des pensions, comme celle qui est en question en l’espèce ;</w:t>
      </w:r>
    </w:p>
    <w:p w:rsidR="00A76539" w:rsidRDefault="00A76539" w:rsidP="00710D45">
      <w:pPr>
        <w:pStyle w:val="ECHRParaQuote"/>
      </w:pPr>
      <w:r>
        <w:t xml:space="preserve"> – des dommages ultérieurs s’élevant à 2 000 EUR pour la frustration et l’anxiété subies après l’arrêt des cours italiennes ;</w:t>
      </w:r>
    </w:p>
    <w:p w:rsidR="00A76539" w:rsidRDefault="00A76539" w:rsidP="00710D45">
      <w:pPr>
        <w:pStyle w:val="ECHRParaQuote"/>
      </w:pPr>
      <w:r>
        <w:t xml:space="preserve"> – le remboursement des frais et dépens ainsi que des honoraires d’avocat pour cette procédure, avec distraction en faveur de l’avocat.</w:t>
      </w:r>
    </w:p>
    <w:p w:rsidR="00A76539" w:rsidRDefault="00A76539" w:rsidP="00710D45">
      <w:pPr>
        <w:pStyle w:val="ECHRParaQuote"/>
        <w:ind w:left="0" w:firstLine="567"/>
      </w:pPr>
      <w:r>
        <w:t>La requête précédente porte le n</w:t>
      </w:r>
      <w:r>
        <w:rPr>
          <w:vertAlign w:val="superscript"/>
        </w:rPr>
        <w:t>o</w:t>
      </w:r>
      <w:r>
        <w:t xml:space="preserve"> 48908/07.</w:t>
      </w:r>
    </w:p>
    <w:p w:rsidR="00A76539" w:rsidRDefault="00A76539" w:rsidP="00710D45">
      <w:pPr>
        <w:pStyle w:val="ECHRParaQuote"/>
      </w:pPr>
      <w:r>
        <w:t>La présente requête, ayant objet et contenu diffèrent, doit être traitée et décidée séparément et de manière autonome par rapport à celle déjà pendante, portant le n</w:t>
      </w:r>
      <w:r>
        <w:rPr>
          <w:vertAlign w:val="superscript"/>
        </w:rPr>
        <w:t>o</w:t>
      </w:r>
      <w:r>
        <w:t> 48908/07 ».</w:t>
      </w:r>
    </w:p>
    <w:p w:rsidR="00A76539" w:rsidRPr="00261CBA" w:rsidRDefault="00A76539" w:rsidP="00710D45">
      <w:pPr>
        <w:pStyle w:val="ECHRTitle1"/>
      </w:pPr>
      <w:r w:rsidRPr="00261CBA">
        <w:t>GRIEF</w:t>
      </w:r>
      <w:r>
        <w:t>S</w:t>
      </w:r>
    </w:p>
    <w:p w:rsidR="00A76539" w:rsidRDefault="00A76539" w:rsidP="00710D45">
      <w:pPr>
        <w:pStyle w:val="ECHRPara"/>
        <w:rPr>
          <w:lang w:eastAsia="en-US"/>
        </w:rPr>
      </w:pPr>
      <w:r>
        <w:t>27.  Invoquant les articles 6 § 1, 13 et 17 de la Convention ainsi que l’article 1 du Protocole n</w:t>
      </w:r>
      <w:r w:rsidRPr="00B31208">
        <w:rPr>
          <w:vertAlign w:val="superscript"/>
        </w:rPr>
        <w:t>o</w:t>
      </w:r>
      <w:r>
        <w:t xml:space="preserve"> 1,  les requérants se plaignent du retard dans l’exécution des décisions « Pinto » et de l’ineffectivité du recours « Pinto ».</w:t>
      </w:r>
    </w:p>
    <w:p w:rsidR="00A76539" w:rsidRPr="00261CBA" w:rsidRDefault="00A76539" w:rsidP="00710D45">
      <w:pPr>
        <w:pStyle w:val="ECHRTitle1"/>
      </w:pPr>
      <w:r w:rsidRPr="00261CBA">
        <w:t>EN DROIT</w:t>
      </w:r>
    </w:p>
    <w:p w:rsidR="00A76539" w:rsidRDefault="00A76539" w:rsidP="00710D45">
      <w:pPr>
        <w:pStyle w:val="ECHRPara"/>
      </w:pPr>
      <w:r>
        <w:t>28.  Compte tenu de la similitude des faits et des questions juridiques posées par les requêtes, la Cour décide de les joindre et de les examiner ensemble (article 42 § 1 du règlement de la Cour).</w:t>
      </w:r>
    </w:p>
    <w:p w:rsidR="00A76539" w:rsidRDefault="00A76539" w:rsidP="00710D45">
      <w:pPr>
        <w:pStyle w:val="ECHRPara"/>
      </w:pPr>
      <w:r>
        <w:rPr>
          <w:lang w:eastAsia="en-US"/>
        </w:rPr>
        <w:t xml:space="preserve">29. La Cour rappelle qu’une requête peut être considérée comme étant abusive aux termes de l’article 35 § 3 a) de la Convention </w:t>
      </w:r>
      <w:r>
        <w:t xml:space="preserve">si, par exemple, elle a été fondée sciemment sur des faits controuvés (voir, entre autres, </w:t>
      </w:r>
      <w:r>
        <w:rPr>
          <w:i/>
        </w:rPr>
        <w:t xml:space="preserve">Jian c. Roumanie </w:t>
      </w:r>
      <w:r>
        <w:t>(déc.), n</w:t>
      </w:r>
      <w:r>
        <w:rPr>
          <w:vertAlign w:val="superscript"/>
        </w:rPr>
        <w:t>o</w:t>
      </w:r>
      <w:r>
        <w:t xml:space="preserve"> 46640/99, 30 mars 2004 ; </w:t>
      </w:r>
      <w:r>
        <w:rPr>
          <w:i/>
          <w:lang w:eastAsia="en-US"/>
        </w:rPr>
        <w:t xml:space="preserve">Keretchachvili c. Géorgie </w:t>
      </w:r>
      <w:r>
        <w:rPr>
          <w:lang w:eastAsia="en-US"/>
        </w:rPr>
        <w:t>(déc.), n</w:t>
      </w:r>
      <w:r>
        <w:rPr>
          <w:vertAlign w:val="superscript"/>
          <w:lang w:eastAsia="en-US"/>
        </w:rPr>
        <w:t>o</w:t>
      </w:r>
      <w:r>
        <w:rPr>
          <w:lang w:eastAsia="en-US"/>
        </w:rPr>
        <w:t xml:space="preserve"> 5667/02, </w:t>
      </w:r>
      <w:r>
        <w:rPr>
          <w:szCs w:val="24"/>
          <w:lang w:eastAsia="en-US"/>
        </w:rPr>
        <w:t>CEDH 2006</w:t>
      </w:r>
      <w:r>
        <w:rPr>
          <w:szCs w:val="24"/>
          <w:lang w:eastAsia="en-US"/>
        </w:rPr>
        <w:noBreakHyphen/>
        <w:t>V)</w:t>
      </w:r>
      <w:r>
        <w:rPr>
          <w:i/>
        </w:rPr>
        <w:t xml:space="preserve"> </w:t>
      </w:r>
      <w:r>
        <w:t xml:space="preserve">ou si le requérant a passé sous silence des informations essentielles concernant les faits de l’affaire afin d’induire la Cour en erreur (voir, entre autres, </w:t>
      </w:r>
      <w:r>
        <w:rPr>
          <w:i/>
        </w:rPr>
        <w:t>Hüttner c. Allemagne</w:t>
      </w:r>
      <w:r>
        <w:t xml:space="preserve"> (déc.), n</w:t>
      </w:r>
      <w:r>
        <w:rPr>
          <w:vertAlign w:val="superscript"/>
        </w:rPr>
        <w:t>o </w:t>
      </w:r>
      <w:r>
        <w:t>23130/04,   19 juin 2006 ;</w:t>
      </w:r>
      <w:r>
        <w:rPr>
          <w:i/>
        </w:rPr>
        <w:t xml:space="preserve"> Basileo et autres c. Italie </w:t>
      </w:r>
      <w:r>
        <w:t>(déc.), n</w:t>
      </w:r>
      <w:r>
        <w:rPr>
          <w:vertAlign w:val="superscript"/>
        </w:rPr>
        <w:t>o</w:t>
      </w:r>
      <w:r>
        <w:t xml:space="preserve"> 11303/02, 23 août 2011).</w:t>
      </w:r>
    </w:p>
    <w:p w:rsidR="00A76539" w:rsidRDefault="00A76539" w:rsidP="00710D45">
      <w:pPr>
        <w:pStyle w:val="ECHRPara"/>
        <w:rPr>
          <w:lang w:eastAsia="en-US"/>
        </w:rPr>
      </w:pPr>
      <w:r>
        <w:rPr>
          <w:lang w:eastAsia="en-US"/>
        </w:rPr>
        <w:t xml:space="preserve">30.  La Cour a déjà affirmé, en outre, que « </w:t>
      </w:r>
      <w:r>
        <w:t xml:space="preserve">tout comportement du requérant manifestement contraire à la vocation du droit de recours et entravant le bon fonctionnement de la Cour ou le bon déroulement de la procédure devant elle, peut [en principe] être qualifié d’abusif » (voir </w:t>
      </w:r>
      <w:r>
        <w:rPr>
          <w:i/>
          <w:lang w:eastAsia="en-US"/>
        </w:rPr>
        <w:t>Miroļubovs et autres c. Latvia</w:t>
      </w:r>
      <w:r>
        <w:rPr>
          <w:lang w:eastAsia="en-US"/>
        </w:rPr>
        <w:t>, n</w:t>
      </w:r>
      <w:r>
        <w:rPr>
          <w:vertAlign w:val="superscript"/>
          <w:lang w:eastAsia="en-US"/>
        </w:rPr>
        <w:t>o</w:t>
      </w:r>
      <w:r>
        <w:rPr>
          <w:lang w:eastAsia="en-US"/>
        </w:rPr>
        <w:t xml:space="preserve"> 798/05, § 65, 15 septembre 2009), la notion d’abus, aux termes de l’article 35 § 3 a) de la Convention, devant être </w:t>
      </w:r>
      <w:r>
        <w:t>comprise dans son sens ordinaire retenu par la théorie générale du droit – à savoir le fait, par le titulaire d’un droit, de le mettre en œuvre en dehors de sa finalité d’une manière préjudiciable</w:t>
      </w:r>
      <w:r>
        <w:rPr>
          <w:lang w:eastAsia="en-US"/>
        </w:rPr>
        <w:t xml:space="preserve"> (voir </w:t>
      </w:r>
      <w:r>
        <w:rPr>
          <w:i/>
          <w:lang w:eastAsia="en-US"/>
        </w:rPr>
        <w:t>Miroļubovs et autres</w:t>
      </w:r>
      <w:r>
        <w:rPr>
          <w:lang w:eastAsia="en-US"/>
        </w:rPr>
        <w:t xml:space="preserve">, précitée, § 62 ; </w:t>
      </w:r>
      <w:r w:rsidRPr="00F47495">
        <w:rPr>
          <w:i/>
          <w:lang w:eastAsia="en-US"/>
        </w:rPr>
        <w:t xml:space="preserve">Petrović c. Serbie </w:t>
      </w:r>
      <w:r w:rsidRPr="00F47495">
        <w:rPr>
          <w:lang w:eastAsia="en-US"/>
        </w:rPr>
        <w:t>(déc.), n</w:t>
      </w:r>
      <w:r w:rsidRPr="00F47495">
        <w:rPr>
          <w:vertAlign w:val="superscript"/>
          <w:lang w:eastAsia="en-US"/>
        </w:rPr>
        <w:t>os</w:t>
      </w:r>
      <w:r w:rsidRPr="00F47495">
        <w:rPr>
          <w:lang w:eastAsia="en-US"/>
        </w:rPr>
        <w:t xml:space="preserve"> 56551/11 et dix autres, 18 octobre 2011).</w:t>
      </w:r>
    </w:p>
    <w:p w:rsidR="00A76539" w:rsidRDefault="00A76539" w:rsidP="00710D45">
      <w:pPr>
        <w:pStyle w:val="ECHRPara"/>
        <w:rPr>
          <w:lang w:eastAsia="en-US"/>
        </w:rPr>
      </w:pPr>
      <w:r>
        <w:rPr>
          <w:lang w:eastAsia="en-US"/>
        </w:rPr>
        <w:t xml:space="preserve">31.  La Cour réitère, également, qu’aux termes de l’article 44A du règlement, « [l]es parties </w:t>
      </w:r>
      <w:r>
        <w:rPr>
          <w:szCs w:val="24"/>
          <w:lang w:eastAsia="en-US"/>
        </w:rPr>
        <w:t xml:space="preserve">ont l’obligation </w:t>
      </w:r>
      <w:r>
        <w:rPr>
          <w:szCs w:val="24"/>
        </w:rPr>
        <w:t>de coopérer pleinement à la conduite de la procédure »</w:t>
      </w:r>
      <w:r>
        <w:t>. Elle</w:t>
      </w:r>
      <w:r>
        <w:rPr>
          <w:lang w:eastAsia="en-US"/>
        </w:rPr>
        <w:t xml:space="preserve"> a maintes fois jugé que les règles de procédure prévues en droit interne </w:t>
      </w:r>
      <w:r>
        <w:t>visent à assurer la bonne administration de la justice et le respect du principe de sécurité juridique et que les intéressés doivent pouvoir s’attendre à ce que ces règles soient appliquées. L</w:t>
      </w:r>
      <w:r>
        <w:rPr>
          <w:lang w:eastAsia="en-US"/>
        </w:rPr>
        <w:t xml:space="preserve">e même constat s’impose </w:t>
      </w:r>
      <w:r>
        <w:rPr>
          <w:i/>
          <w:lang w:eastAsia="en-US"/>
        </w:rPr>
        <w:t>a fortiori</w:t>
      </w:r>
      <w:r>
        <w:rPr>
          <w:lang w:eastAsia="en-US"/>
        </w:rPr>
        <w:t xml:space="preserve"> au regard des dispositions procédurales de la Convention et du règlement de la Cour (voir </w:t>
      </w:r>
      <w:r>
        <w:rPr>
          <w:i/>
          <w:lang w:eastAsia="en-US"/>
        </w:rPr>
        <w:t>Miroļubovs et autres</w:t>
      </w:r>
      <w:r>
        <w:rPr>
          <w:lang w:eastAsia="en-US"/>
        </w:rPr>
        <w:t>, précité, § 66).</w:t>
      </w:r>
    </w:p>
    <w:p w:rsidR="00A76539" w:rsidRDefault="00A76539" w:rsidP="00710D45">
      <w:pPr>
        <w:pStyle w:val="ECHRPara"/>
        <w:rPr>
          <w:rStyle w:val="sb8d990e2"/>
        </w:rPr>
      </w:pPr>
      <w:r>
        <w:rPr>
          <w:lang w:eastAsia="en-US"/>
        </w:rPr>
        <w:t>32.  Dès lors, u</w:t>
      </w:r>
      <w:r w:rsidRPr="00DD3C37">
        <w:rPr>
          <w:lang w:eastAsia="en-US"/>
        </w:rPr>
        <w:t xml:space="preserve">n comportement </w:t>
      </w:r>
      <w:r>
        <w:rPr>
          <w:lang w:eastAsia="en-US"/>
        </w:rPr>
        <w:t xml:space="preserve">absolument </w:t>
      </w:r>
      <w:r w:rsidRPr="00DD3C37">
        <w:rPr>
          <w:lang w:eastAsia="en-US"/>
        </w:rPr>
        <w:t xml:space="preserve">irresponsable et léger du requérant ou de son représentant, qui est clairement </w:t>
      </w:r>
      <w:r>
        <w:rPr>
          <w:lang w:eastAsia="en-US"/>
        </w:rPr>
        <w:t>contraire</w:t>
      </w:r>
      <w:r w:rsidRPr="00DD3C37">
        <w:rPr>
          <w:lang w:eastAsia="en-US"/>
        </w:rPr>
        <w:t xml:space="preserve"> à la véritable mission de la Cour aux termes des articles</w:t>
      </w:r>
      <w:r>
        <w:rPr>
          <w:lang w:eastAsia="en-US"/>
        </w:rPr>
        <w:t xml:space="preserve"> 19 et 32 de la Convention</w:t>
      </w:r>
      <w:r w:rsidRPr="00DD3C37">
        <w:rPr>
          <w:lang w:eastAsia="en-US"/>
        </w:rPr>
        <w:t>, peut entra</w:t>
      </w:r>
      <w:r>
        <w:rPr>
          <w:lang w:eastAsia="en-US"/>
        </w:rPr>
        <w:t>î</w:t>
      </w:r>
      <w:r w:rsidRPr="00DD3C37">
        <w:rPr>
          <w:lang w:eastAsia="en-US"/>
        </w:rPr>
        <w:t xml:space="preserve">ner le rejet de la requête comme étant abusive </w:t>
      </w:r>
      <w:r w:rsidRPr="00DD3C37">
        <w:rPr>
          <w:rStyle w:val="sb8d990e2"/>
        </w:rPr>
        <w:t>(</w:t>
      </w:r>
      <w:r w:rsidRPr="00F47495">
        <w:rPr>
          <w:i/>
          <w:lang w:eastAsia="en-US"/>
        </w:rPr>
        <w:t>Petrović</w:t>
      </w:r>
      <w:r>
        <w:rPr>
          <w:lang w:eastAsia="en-US"/>
        </w:rPr>
        <w:t xml:space="preserve">, précité ; </w:t>
      </w:r>
      <w:r>
        <w:rPr>
          <w:i/>
        </w:rPr>
        <w:t>Bekauri c. Géorgie</w:t>
      </w:r>
      <w:r>
        <w:t xml:space="preserve"> (déc.), n</w:t>
      </w:r>
      <w:r>
        <w:rPr>
          <w:vertAlign w:val="superscript"/>
        </w:rPr>
        <w:t>o </w:t>
      </w:r>
      <w:r>
        <w:t>14102/02, §§ 21-24, 10 avril 2012</w:t>
      </w:r>
      <w:r w:rsidRPr="00DD3C37">
        <w:rPr>
          <w:rStyle w:val="sb8d990e2"/>
        </w:rPr>
        <w:t>)</w:t>
      </w:r>
      <w:r>
        <w:rPr>
          <w:rStyle w:val="sb8d990e2"/>
        </w:rPr>
        <w:t>.</w:t>
      </w:r>
    </w:p>
    <w:p w:rsidR="00A76539" w:rsidRDefault="00A76539" w:rsidP="00710D45">
      <w:pPr>
        <w:pStyle w:val="ECHRPara"/>
      </w:pPr>
      <w:r>
        <w:rPr>
          <w:rStyle w:val="sb8d990e2"/>
        </w:rPr>
        <w:t xml:space="preserve">33.  Sur la base de ces principes, dans l’affaire </w:t>
      </w:r>
      <w:r>
        <w:rPr>
          <w:i/>
        </w:rPr>
        <w:t>Basileo et autres c. Italie</w:t>
      </w:r>
      <w:r>
        <w:t xml:space="preserve">, précitée, la Cour a déclaré abusif le grief tiré de </w:t>
      </w:r>
      <w:r>
        <w:rPr>
          <w:rStyle w:val="sb8d990e2"/>
        </w:rPr>
        <w:t>la durée de la procédure principale et de l’insuffisance du montant « Pinto »</w:t>
      </w:r>
      <w:r>
        <w:t xml:space="preserve"> car les requérants </w:t>
      </w:r>
      <w:r w:rsidRPr="00463970">
        <w:t>avaient passé sous silence</w:t>
      </w:r>
      <w:r>
        <w:t>, d’abord aux juridictions « Pinto » et ensuite à la Cour,</w:t>
      </w:r>
      <w:r w:rsidRPr="00463970">
        <w:t xml:space="preserve"> des informations essentielles concernant les faits de l</w:t>
      </w:r>
      <w:r>
        <w:t>’</w:t>
      </w:r>
      <w:r w:rsidRPr="00463970">
        <w:t>affaire afin de l</w:t>
      </w:r>
      <w:r>
        <w:t>es induire en erreur.</w:t>
      </w:r>
    </w:p>
    <w:p w:rsidR="00A76539" w:rsidRDefault="00A76539" w:rsidP="00710D45">
      <w:pPr>
        <w:autoSpaceDE w:val="0"/>
        <w:autoSpaceDN w:val="0"/>
        <w:adjustRightInd w:val="0"/>
        <w:ind w:firstLine="284"/>
        <w:rPr>
          <w:lang w:val="fr-FR"/>
        </w:rPr>
      </w:pPr>
      <w:r>
        <w:rPr>
          <w:lang w:val="fr-FR"/>
        </w:rPr>
        <w:t>34</w:t>
      </w:r>
      <w:r w:rsidRPr="001564E4">
        <w:rPr>
          <w:lang w:val="fr-FR"/>
        </w:rPr>
        <w:t>.  </w:t>
      </w:r>
      <w:r w:rsidRPr="002B6B52">
        <w:rPr>
          <w:lang w:val="fr-FR"/>
        </w:rPr>
        <w:t xml:space="preserve">Dans la décision </w:t>
      </w:r>
      <w:r w:rsidRPr="002B6B52">
        <w:rPr>
          <w:i/>
          <w:lang w:val="fr-FR"/>
        </w:rPr>
        <w:t>Simonetti (II) c. Italie et Simonetti (III) c. Italie</w:t>
      </w:r>
      <w:r w:rsidRPr="002B6B52">
        <w:rPr>
          <w:lang w:val="fr-FR"/>
        </w:rPr>
        <w:t xml:space="preserve"> </w:t>
      </w:r>
      <w:r>
        <w:rPr>
          <w:lang w:val="fr-FR"/>
        </w:rPr>
        <w:t>(</w:t>
      </w:r>
      <w:r w:rsidRPr="002B6B52">
        <w:rPr>
          <w:lang w:val="fr-FR"/>
        </w:rPr>
        <w:t>n</w:t>
      </w:r>
      <w:r>
        <w:rPr>
          <w:vertAlign w:val="superscript"/>
          <w:lang w:val="fr-FR"/>
        </w:rPr>
        <w:t>os </w:t>
      </w:r>
      <w:r w:rsidRPr="002B6B52">
        <w:rPr>
          <w:lang w:val="fr-FR"/>
        </w:rPr>
        <w:t>50914/11 et 58323/11, § 24, 10 juillet 2012</w:t>
      </w:r>
      <w:r>
        <w:rPr>
          <w:lang w:val="fr-FR"/>
        </w:rPr>
        <w:t>)</w:t>
      </w:r>
      <w:r w:rsidRPr="002B6B52">
        <w:rPr>
          <w:lang w:val="fr-FR"/>
        </w:rPr>
        <w:t xml:space="preserve">, la Cour </w:t>
      </w:r>
      <w:r>
        <w:rPr>
          <w:lang w:val="fr-FR"/>
        </w:rPr>
        <w:t xml:space="preserve">a stigmatisé, pour conclure à l’abus du droit de recours, le fait </w:t>
      </w:r>
      <w:r w:rsidRPr="002B6B52">
        <w:rPr>
          <w:lang w:val="fr-FR"/>
        </w:rPr>
        <w:t>que le requérant, par l</w:t>
      </w:r>
      <w:r>
        <w:rPr>
          <w:lang w:val="fr-FR"/>
        </w:rPr>
        <w:t>’</w:t>
      </w:r>
      <w:r w:rsidRPr="002B6B52">
        <w:rPr>
          <w:lang w:val="fr-FR"/>
        </w:rPr>
        <w:t>intermédiaire de M</w:t>
      </w:r>
      <w:r w:rsidRPr="002B6B52">
        <w:rPr>
          <w:vertAlign w:val="superscript"/>
          <w:lang w:val="fr-FR"/>
        </w:rPr>
        <w:t>e</w:t>
      </w:r>
      <w:r w:rsidRPr="002B6B52">
        <w:rPr>
          <w:lang w:val="fr-FR"/>
        </w:rPr>
        <w:t xml:space="preserve"> A. Marra, a</w:t>
      </w:r>
      <w:r>
        <w:rPr>
          <w:lang w:val="fr-FR"/>
        </w:rPr>
        <w:t>vait</w:t>
      </w:r>
      <w:r w:rsidRPr="002B6B52">
        <w:rPr>
          <w:lang w:val="fr-FR"/>
        </w:rPr>
        <w:t xml:space="preserve"> introduit à douze jours d</w:t>
      </w:r>
      <w:r>
        <w:rPr>
          <w:lang w:val="fr-FR"/>
        </w:rPr>
        <w:t>’</w:t>
      </w:r>
      <w:r w:rsidRPr="002B6B52">
        <w:rPr>
          <w:lang w:val="fr-FR"/>
        </w:rPr>
        <w:t>intervalle deux requêtes portant sur la même procédure « Pinto » </w:t>
      </w:r>
      <w:r>
        <w:rPr>
          <w:lang w:val="fr-FR"/>
        </w:rPr>
        <w:t>et qu’en outre,</w:t>
      </w:r>
      <w:r w:rsidRPr="002B6B52">
        <w:rPr>
          <w:lang w:val="fr-FR"/>
        </w:rPr>
        <w:t xml:space="preserve"> les communications du r</w:t>
      </w:r>
      <w:r>
        <w:rPr>
          <w:lang w:val="fr-FR"/>
        </w:rPr>
        <w:t>eprésentant du requérant qui avaient</w:t>
      </w:r>
      <w:r w:rsidRPr="002B6B52">
        <w:rPr>
          <w:lang w:val="fr-FR"/>
        </w:rPr>
        <w:t xml:space="preserve"> suivi l</w:t>
      </w:r>
      <w:r>
        <w:rPr>
          <w:lang w:val="fr-FR"/>
        </w:rPr>
        <w:t>’introduction de</w:t>
      </w:r>
      <w:r w:rsidRPr="002B6B52">
        <w:rPr>
          <w:lang w:val="fr-FR"/>
        </w:rPr>
        <w:t xml:space="preserve"> </w:t>
      </w:r>
      <w:r>
        <w:rPr>
          <w:lang w:val="fr-FR"/>
        </w:rPr>
        <w:t>ces</w:t>
      </w:r>
      <w:r w:rsidRPr="002B6B52">
        <w:rPr>
          <w:lang w:val="fr-FR"/>
        </w:rPr>
        <w:t xml:space="preserve"> requêtes </w:t>
      </w:r>
      <w:r>
        <w:rPr>
          <w:lang w:val="fr-FR"/>
        </w:rPr>
        <w:t>s’étaient</w:t>
      </w:r>
      <w:r w:rsidRPr="002B6B52">
        <w:rPr>
          <w:lang w:val="fr-FR"/>
        </w:rPr>
        <w:t xml:space="preserve"> avérées imprécises et trompeuses.</w:t>
      </w:r>
    </w:p>
    <w:p w:rsidR="00A76539" w:rsidRDefault="00A76539" w:rsidP="00710D45">
      <w:pPr>
        <w:pStyle w:val="ECHRPara"/>
      </w:pPr>
      <w:r>
        <w:t>35. De même, dans la décision </w:t>
      </w:r>
      <w:r>
        <w:rPr>
          <w:i/>
        </w:rPr>
        <w:t>De Cristofaro et autres c. Italie</w:t>
      </w:r>
      <w:r>
        <w:t xml:space="preserve"> (n</w:t>
      </w:r>
      <w:r>
        <w:rPr>
          <w:vertAlign w:val="superscript"/>
        </w:rPr>
        <w:t>o</w:t>
      </w:r>
      <w:r>
        <w:t> 30464/07 et autres, §§ 45-49, 10 juillet 2012), la Cour a déclaré irrecevables comme étant abusives plusieurs requêtes concernant les mêmes procédures « Pinto » qui faisaient l’objet d’autres requêtes déjà pendantes, introduites par M</w:t>
      </w:r>
      <w:r>
        <w:rPr>
          <w:vertAlign w:val="superscript"/>
        </w:rPr>
        <w:t xml:space="preserve">e </w:t>
      </w:r>
      <w:r>
        <w:t>A. Marra au nom des mêmes requérants.</w:t>
      </w:r>
      <w:r w:rsidRPr="0043272E">
        <w:t xml:space="preserve"> </w:t>
      </w:r>
      <w:r>
        <w:t>En effet, par une lettre du 27 octobre 2011, la Cour avait indiqué à cet avocat qu’il aurait dû signaler, lors de l’introduction d’une nouvelle requête</w:t>
      </w:r>
      <w:r w:rsidRPr="009C5B66">
        <w:rPr>
          <w:color w:val="000000"/>
        </w:rPr>
        <w:t xml:space="preserve">, </w:t>
      </w:r>
      <w:r>
        <w:rPr>
          <w:color w:val="000000"/>
        </w:rPr>
        <w:t xml:space="preserve">l’existence d’autres requêtes déjà pendantes au nom du même requérant et concernant la même procédure interne. </w:t>
      </w:r>
      <w:r>
        <w:t xml:space="preserve">Dès lors, elle a constaté que </w:t>
      </w:r>
      <w:r w:rsidRPr="002B6B52">
        <w:t>M</w:t>
      </w:r>
      <w:r w:rsidRPr="002B6B52">
        <w:rPr>
          <w:vertAlign w:val="superscript"/>
        </w:rPr>
        <w:t>e</w:t>
      </w:r>
      <w:r w:rsidRPr="002B6B52">
        <w:t xml:space="preserve"> A. Marra</w:t>
      </w:r>
      <w:r>
        <w:t xml:space="preserve"> avait ouvertement négligé les instructions lui précédemment adressées, au mépris du devoir de coopération </w:t>
      </w:r>
      <w:r>
        <w:rPr>
          <w:lang w:eastAsia="en-US"/>
        </w:rPr>
        <w:t>aux termes de l’article 44A du règlement</w:t>
      </w:r>
      <w:r>
        <w:t>.</w:t>
      </w:r>
    </w:p>
    <w:p w:rsidR="00A76539" w:rsidRDefault="00A76539" w:rsidP="00710D45">
      <w:pPr>
        <w:pStyle w:val="ECHRPara"/>
      </w:pPr>
      <w:r>
        <w:t xml:space="preserve">36. En l’espèce, la Cour relève le caractère </w:t>
      </w:r>
      <w:r>
        <w:rPr>
          <w:lang w:eastAsia="en-US"/>
        </w:rPr>
        <w:t>imprécis et trompeur des allégations</w:t>
      </w:r>
      <w:r>
        <w:t xml:space="preserve"> réitérées au titre VI des formulaires des requêtes n</w:t>
      </w:r>
      <w:r>
        <w:rPr>
          <w:vertAlign w:val="superscript"/>
        </w:rPr>
        <w:t>os</w:t>
      </w:r>
      <w:r>
        <w:t xml:space="preserve"> 58511/13 (</w:t>
      </w:r>
      <w:r>
        <w:rPr>
          <w:i/>
        </w:rPr>
        <w:t>Migliore</w:t>
      </w:r>
      <w:r>
        <w:t>), 59987/13 (</w:t>
      </w:r>
      <w:r>
        <w:rPr>
          <w:i/>
        </w:rPr>
        <w:t>Gallo</w:t>
      </w:r>
      <w:r>
        <w:t>) et 59971/13 (</w:t>
      </w:r>
      <w:r>
        <w:rPr>
          <w:i/>
        </w:rPr>
        <w:t>Busiello</w:t>
      </w:r>
      <w:r>
        <w:t>).</w:t>
      </w:r>
    </w:p>
    <w:p w:rsidR="00A76539" w:rsidRDefault="00A76539" w:rsidP="00710D45">
      <w:pPr>
        <w:pStyle w:val="ECHRPara"/>
      </w:pPr>
      <w:r>
        <w:t>37.  En premier lieu, on y fait référence, en ce qui concerne l’objet des requêtes déjà pendantes (n</w:t>
      </w:r>
      <w:r>
        <w:rPr>
          <w:vertAlign w:val="superscript"/>
        </w:rPr>
        <w:t>os</w:t>
      </w:r>
      <w:r>
        <w:t xml:space="preserve"> 48567/07 (</w:t>
      </w:r>
      <w:r>
        <w:rPr>
          <w:i/>
        </w:rPr>
        <w:t>Migliore</w:t>
      </w:r>
      <w:r>
        <w:t>), 46330/07 (</w:t>
      </w:r>
      <w:r>
        <w:rPr>
          <w:i/>
        </w:rPr>
        <w:t>Gallo</w:t>
      </w:r>
      <w:r>
        <w:t>) et 48908/07 (</w:t>
      </w:r>
      <w:r>
        <w:rPr>
          <w:i/>
        </w:rPr>
        <w:t>Busiello</w:t>
      </w:r>
      <w:r>
        <w:t xml:space="preserve">)), à une prétention qui n’a pas été avancée dans le cadre de celles-ci (voir paragraphes 6-7, 13-14, 20-21 ci-dessus), soit « l’octroi d’un </w:t>
      </w:r>
      <w:r>
        <w:rPr>
          <w:i/>
        </w:rPr>
        <w:t>bonus</w:t>
      </w:r>
      <w:r>
        <w:t xml:space="preserve"> de 2 000 EUR comme prévu par la jurisprudence européenne dans les procédures du droit de travail ou des pensions, comme celle qui est en question en l’espèce ».</w:t>
      </w:r>
    </w:p>
    <w:p w:rsidR="00A76539" w:rsidRDefault="00A76539" w:rsidP="00FE66B9">
      <w:pPr>
        <w:pStyle w:val="ECHRPara"/>
      </w:pPr>
      <w:r>
        <w:t xml:space="preserve">38.  En deuxième lieu, </w:t>
      </w:r>
      <w:r w:rsidRPr="00F9591F">
        <w:t>le conseil des requérants</w:t>
      </w:r>
      <w:r>
        <w:t xml:space="preserve"> indique que les requêtes déjà pendantes (n</w:t>
      </w:r>
      <w:r>
        <w:rPr>
          <w:vertAlign w:val="superscript"/>
        </w:rPr>
        <w:t>os</w:t>
      </w:r>
      <w:r>
        <w:t xml:space="preserve"> 48567/07 (</w:t>
      </w:r>
      <w:r>
        <w:rPr>
          <w:i/>
        </w:rPr>
        <w:t>Migliore</w:t>
      </w:r>
      <w:r>
        <w:t>), 46330/07 (</w:t>
      </w:r>
      <w:r>
        <w:rPr>
          <w:i/>
        </w:rPr>
        <w:t>Gallo</w:t>
      </w:r>
      <w:r>
        <w:t>) et 48908/07 (</w:t>
      </w:r>
      <w:r>
        <w:rPr>
          <w:i/>
        </w:rPr>
        <w:t>Busiello</w:t>
      </w:r>
      <w:r>
        <w:t>)) concernent le « dommage découlant du retard dans le paiement du droit de la cour d’appel », sans ajouter aucun détail ni sur le titre de la créance ni sur la cour d’appel ayant rendu la décision pertinente ou le numéro « R.G.» identifiant la procédure.</w:t>
      </w:r>
    </w:p>
    <w:p w:rsidR="00A76539" w:rsidRDefault="00A76539" w:rsidP="00710D45">
      <w:pPr>
        <w:pStyle w:val="ECHRPara"/>
      </w:pPr>
      <w:r>
        <w:t>39.  Enfin, Maître Marre affirme que chacune des « nouvelles » requêtes</w:t>
      </w:r>
      <w:r w:rsidRPr="00220C32">
        <w:t xml:space="preserve"> </w:t>
      </w:r>
      <w:r>
        <w:t>(n</w:t>
      </w:r>
      <w:r>
        <w:rPr>
          <w:vertAlign w:val="superscript"/>
        </w:rPr>
        <w:t>os</w:t>
      </w:r>
      <w:r>
        <w:t> 58511/13 (</w:t>
      </w:r>
      <w:r>
        <w:rPr>
          <w:i/>
        </w:rPr>
        <w:t>Migliore</w:t>
      </w:r>
      <w:r>
        <w:t>), 59987/13 (</w:t>
      </w:r>
      <w:r>
        <w:rPr>
          <w:i/>
        </w:rPr>
        <w:t>Gallo)</w:t>
      </w:r>
      <w:r>
        <w:t xml:space="preserve"> et 59971/13 (</w:t>
      </w:r>
      <w:r>
        <w:rPr>
          <w:i/>
        </w:rPr>
        <w:t>Busiello</w:t>
      </w:r>
      <w:r>
        <w:t>)), « ayant objet et contenu différent, doit être traitée et décidée séparément et de manière autonome par rapport à celle déjà pendante » (à savoir les requêtes n</w:t>
      </w:r>
      <w:r>
        <w:rPr>
          <w:vertAlign w:val="superscript"/>
        </w:rPr>
        <w:t>os</w:t>
      </w:r>
      <w:r>
        <w:t xml:space="preserve"> 48567/07 (</w:t>
      </w:r>
      <w:r>
        <w:rPr>
          <w:i/>
        </w:rPr>
        <w:t>Migliore</w:t>
      </w:r>
      <w:r>
        <w:t>), 46330/07 (</w:t>
      </w:r>
      <w:r>
        <w:rPr>
          <w:i/>
        </w:rPr>
        <w:t>Gallo</w:t>
      </w:r>
      <w:r>
        <w:t>) et 48908/07 (</w:t>
      </w:r>
      <w:r>
        <w:rPr>
          <w:i/>
        </w:rPr>
        <w:t>Busiello</w:t>
      </w:r>
      <w:r>
        <w:t>)), alors qu’au contraire, leur objet est essentiellement identique : la non </w:t>
      </w:r>
      <w:r>
        <w:noBreakHyphen/>
        <w:t> exécution (pour ce qui est des requêtes de 2007) ou le retard dans l’exécution (pour ce qui est des requêtes de 2013) de la même décision « Pinto ».</w:t>
      </w:r>
    </w:p>
    <w:p w:rsidR="00A76539" w:rsidRPr="00FE66B9" w:rsidRDefault="00A76539" w:rsidP="00FE66B9">
      <w:pPr>
        <w:tabs>
          <w:tab w:val="left" w:pos="284"/>
        </w:tabs>
        <w:rPr>
          <w:color w:val="000000"/>
          <w:lang w:val="fr-FR"/>
        </w:rPr>
      </w:pPr>
      <w:r w:rsidRPr="00FE66B9">
        <w:rPr>
          <w:color w:val="000000"/>
          <w:lang w:val="fr-FR"/>
        </w:rPr>
        <w:tab/>
        <w:t>Ce faisant, les requérants ont, en substance, demandé à la Cour de condamner l</w:t>
      </w:r>
      <w:r>
        <w:rPr>
          <w:color w:val="000000"/>
          <w:lang w:val="fr-FR"/>
        </w:rPr>
        <w:t>’</w:t>
      </w:r>
      <w:r w:rsidRPr="00FE66B9">
        <w:rPr>
          <w:color w:val="000000"/>
          <w:lang w:val="fr-FR"/>
        </w:rPr>
        <w:t>État italien à les dédommager deux fois pour un préjudice qui est largement le même, car chaque grief relatif à la non-exécution de la décision « Pinto », soulevé dans la requête de 2007 est compris dans le grief tiré du retard dans l</w:t>
      </w:r>
      <w:r>
        <w:rPr>
          <w:color w:val="000000"/>
          <w:lang w:val="fr-FR"/>
        </w:rPr>
        <w:t>’</w:t>
      </w:r>
      <w:r w:rsidRPr="00FE66B9">
        <w:rPr>
          <w:color w:val="000000"/>
          <w:lang w:val="fr-FR"/>
        </w:rPr>
        <w:t>exécution de la même décision « Pinto », soulevé dans les requêtes de 2013.</w:t>
      </w:r>
    </w:p>
    <w:p w:rsidR="00A76539" w:rsidRDefault="00A76539" w:rsidP="00FE66B9">
      <w:pPr>
        <w:pStyle w:val="ECHRPara"/>
      </w:pPr>
      <w:r>
        <w:t xml:space="preserve">Au demeurant, par l’arrêt </w:t>
      </w:r>
      <w:r w:rsidRPr="00060A56">
        <w:rPr>
          <w:i/>
        </w:rPr>
        <w:t>Gaglione et autres</w:t>
      </w:r>
      <w:r>
        <w:t>, précité, la Cour, se prononçant, entre autres, sur la première requête de M</w:t>
      </w:r>
      <w:r>
        <w:rPr>
          <w:vertAlign w:val="superscript"/>
        </w:rPr>
        <w:t>me</w:t>
      </w:r>
      <w:r>
        <w:t xml:space="preserve"> Busiello (n</w:t>
      </w:r>
      <w:r w:rsidRPr="008106D8">
        <w:rPr>
          <w:vertAlign w:val="superscript"/>
        </w:rPr>
        <w:t>o</w:t>
      </w:r>
      <w:r>
        <w:t xml:space="preserve"> 46330/07), avait déjà conclu à la violation </w:t>
      </w:r>
      <w:r w:rsidRPr="00F9591F">
        <w:t>des articles 6 § 1 de la Convention et 1 du Protocole n</w:t>
      </w:r>
      <w:r w:rsidRPr="00F9591F">
        <w:rPr>
          <w:vertAlign w:val="superscript"/>
        </w:rPr>
        <w:t>o</w:t>
      </w:r>
      <w:r w:rsidRPr="00F9591F">
        <w:t xml:space="preserve"> 1 </w:t>
      </w:r>
      <w:r>
        <w:t>du fait de la non-exécution de la décision « Pinto » R.G. n</w:t>
      </w:r>
      <w:r>
        <w:rPr>
          <w:vertAlign w:val="superscript"/>
        </w:rPr>
        <w:t>o</w:t>
      </w:r>
      <w:r>
        <w:t xml:space="preserve"> 51263/05 et lui avait accordé une somme à titre de dommage moral (paragraphe 22 ci-dessus).</w:t>
      </w:r>
    </w:p>
    <w:p w:rsidR="00A76539" w:rsidRDefault="00A76539" w:rsidP="00710D45">
      <w:pPr>
        <w:pStyle w:val="ECHRPara"/>
      </w:pPr>
      <w:r>
        <w:t>40</w:t>
      </w:r>
      <w:r w:rsidRPr="00925352">
        <w:t>.  </w:t>
      </w:r>
      <w:r w:rsidRPr="00F9591F">
        <w:t>Ce qui précède témoigne, une fois de plus, d</w:t>
      </w:r>
      <w:r>
        <w:t>’</w:t>
      </w:r>
      <w:r w:rsidRPr="00F9591F">
        <w:t>une conduite clairement contraire au but du recours individuel aux termes de l</w:t>
      </w:r>
      <w:r>
        <w:t>’</w:t>
      </w:r>
      <w:r w:rsidRPr="00F9591F">
        <w:t>article 34 ainsi qu</w:t>
      </w:r>
      <w:r>
        <w:t>’</w:t>
      </w:r>
      <w:r w:rsidRPr="00F9591F">
        <w:t xml:space="preserve">à la véritable mission de la Cour aux termes des articles 19 et 32 de la Convention. </w:t>
      </w:r>
      <w:r w:rsidRPr="00925352">
        <w:t>Dès lors, il y a lieu de déclarer les requêtes irrecevable</w:t>
      </w:r>
      <w:r>
        <w:t>s</w:t>
      </w:r>
      <w:r w:rsidRPr="00925352">
        <w:t xml:space="preserve"> comme étant abusives, en application de l</w:t>
      </w:r>
      <w:r>
        <w:t>’</w:t>
      </w:r>
      <w:r w:rsidRPr="00925352">
        <w:t>article 35 § 3 a) de la Convention.</w:t>
      </w:r>
    </w:p>
    <w:p w:rsidR="00A76539" w:rsidRDefault="00A76539" w:rsidP="00710D45">
      <w:pPr>
        <w:pStyle w:val="JuParaLast"/>
      </w:pPr>
      <w:r w:rsidRPr="00261CBA">
        <w:t>Par ces motifs, la Cour, à l</w:t>
      </w:r>
      <w:r>
        <w:t>’</w:t>
      </w:r>
      <w:r w:rsidRPr="00261CBA">
        <w:t>unanimité,</w:t>
      </w:r>
    </w:p>
    <w:p w:rsidR="00A76539" w:rsidRPr="009B447D" w:rsidRDefault="00A76539" w:rsidP="00710D45">
      <w:pPr>
        <w:pStyle w:val="DecList"/>
      </w:pPr>
      <w:r w:rsidRPr="009B447D">
        <w:rPr>
          <w:i/>
        </w:rPr>
        <w:t>Décide</w:t>
      </w:r>
      <w:r w:rsidRPr="009B447D">
        <w:t xml:space="preserve"> de joindre les requêtes ;</w:t>
      </w:r>
    </w:p>
    <w:p w:rsidR="00A76539" w:rsidRPr="009B447D" w:rsidRDefault="00A76539" w:rsidP="00710D45">
      <w:pPr>
        <w:pStyle w:val="JuParaLast"/>
      </w:pPr>
      <w:r w:rsidRPr="009B447D">
        <w:rPr>
          <w:i/>
        </w:rPr>
        <w:t xml:space="preserve">Déclare </w:t>
      </w:r>
      <w:r w:rsidRPr="009B447D">
        <w:t>les requêtes irrecevables.</w:t>
      </w:r>
    </w:p>
    <w:p w:rsidR="00A76539" w:rsidRPr="000903DC" w:rsidRDefault="00A76539" w:rsidP="00F658A0">
      <w:pPr>
        <w:pStyle w:val="JuSigned"/>
        <w:rPr>
          <w:szCs w:val="24"/>
        </w:rPr>
      </w:pPr>
      <w:r w:rsidRPr="000903DC">
        <w:tab/>
      </w:r>
      <w:r>
        <w:t>Stanley</w:t>
      </w:r>
      <w:r w:rsidRPr="000903DC">
        <w:t xml:space="preserve"> </w:t>
      </w:r>
      <w:r>
        <w:t>Naismith</w:t>
      </w:r>
      <w:r w:rsidRPr="000903DC">
        <w:tab/>
      </w:r>
      <w:r>
        <w:t>Işıl</w:t>
      </w:r>
      <w:r w:rsidRPr="000903DC">
        <w:t xml:space="preserve"> </w:t>
      </w:r>
      <w:r>
        <w:t>Karakaş</w:t>
      </w:r>
      <w:r w:rsidRPr="000903DC">
        <w:br/>
      </w:r>
      <w:r w:rsidRPr="000903DC">
        <w:tab/>
      </w:r>
      <w:r>
        <w:rPr>
          <w:szCs w:val="24"/>
        </w:rPr>
        <w:t>Greffier</w:t>
      </w:r>
      <w:r w:rsidRPr="000903DC">
        <w:tab/>
        <w:t>Présidente</w:t>
      </w:r>
    </w:p>
    <w:p w:rsidR="00A76539" w:rsidRPr="00951231" w:rsidRDefault="00A76539" w:rsidP="00407DAE">
      <w:pPr>
        <w:rPr>
          <w:lang w:val="fr-FR"/>
        </w:rPr>
      </w:pPr>
      <w:r w:rsidRPr="00951231">
        <w:rPr>
          <w:lang w:val="fr-FR"/>
        </w:rPr>
        <w:br w:type="page"/>
      </w:r>
    </w:p>
    <w:p w:rsidR="00A76539" w:rsidRPr="00951231" w:rsidRDefault="00A76539" w:rsidP="00407DAE">
      <w:pPr>
        <w:rPr>
          <w:lang w:val="fr-FR"/>
        </w:rPr>
      </w:pPr>
    </w:p>
    <w:p w:rsidR="00A76539" w:rsidRPr="000903DC" w:rsidRDefault="00A76539" w:rsidP="001472F0">
      <w:pPr>
        <w:pStyle w:val="JuTitle"/>
      </w:pPr>
      <w:r w:rsidRPr="00CB4FC2">
        <w:t>Annexe</w:t>
      </w:r>
    </w:p>
    <w:p w:rsidR="00A76539" w:rsidRDefault="00A76539" w:rsidP="00710D45"/>
    <w:tbl>
      <w:tblPr>
        <w:tblW w:w="0" w:type="auto"/>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1E0"/>
      </w:tblPr>
      <w:tblGrid>
        <w:gridCol w:w="488"/>
        <w:gridCol w:w="1331"/>
        <w:gridCol w:w="1379"/>
        <w:gridCol w:w="2205"/>
        <w:gridCol w:w="2171"/>
      </w:tblGrid>
      <w:tr w:rsidR="00A76539" w:rsidRPr="00763CE3" w:rsidTr="00763CE3">
        <w:trPr>
          <w:tblHeader/>
        </w:trPr>
        <w:tc>
          <w:tcPr>
            <w:tcW w:w="504" w:type="dxa"/>
            <w:shd w:val="clear" w:color="auto" w:fill="DFDFDF"/>
          </w:tcPr>
          <w:p w:rsidR="00A76539" w:rsidRPr="00763CE3" w:rsidRDefault="00A76539" w:rsidP="00763CE3">
            <w:pPr>
              <w:jc w:val="left"/>
              <w:rPr>
                <w:b/>
                <w:color w:val="474747"/>
                <w:sz w:val="22"/>
              </w:rPr>
            </w:pPr>
            <w:bookmarkStart w:id="0" w:name="TableStart"/>
            <w:bookmarkEnd w:id="0"/>
            <w:r w:rsidRPr="00763CE3">
              <w:rPr>
                <w:b/>
                <w:color w:val="474747"/>
                <w:sz w:val="22"/>
              </w:rPr>
              <w:t>N</w:t>
            </w:r>
            <w:r w:rsidRPr="00763CE3">
              <w:rPr>
                <w:b/>
                <w:color w:val="474747"/>
                <w:sz w:val="22"/>
                <w:vertAlign w:val="superscript"/>
              </w:rPr>
              <w:t>o</w:t>
            </w:r>
          </w:p>
        </w:tc>
        <w:tc>
          <w:tcPr>
            <w:tcW w:w="1440" w:type="dxa"/>
            <w:shd w:val="clear" w:color="auto" w:fill="DFDFDF"/>
          </w:tcPr>
          <w:p w:rsidR="00A76539" w:rsidRPr="00763CE3" w:rsidRDefault="00A76539" w:rsidP="00763CE3">
            <w:pPr>
              <w:jc w:val="left"/>
              <w:rPr>
                <w:b/>
                <w:color w:val="474747"/>
                <w:sz w:val="22"/>
              </w:rPr>
            </w:pPr>
            <w:r w:rsidRPr="00763CE3">
              <w:rPr>
                <w:b/>
                <w:color w:val="474747"/>
                <w:sz w:val="22"/>
              </w:rPr>
              <w:t>Requête N</w:t>
            </w:r>
            <w:r w:rsidRPr="00763CE3">
              <w:rPr>
                <w:b/>
                <w:color w:val="474747"/>
                <w:sz w:val="22"/>
                <w:vertAlign w:val="superscript"/>
              </w:rPr>
              <w:t>o</w:t>
            </w:r>
          </w:p>
        </w:tc>
        <w:tc>
          <w:tcPr>
            <w:tcW w:w="1440" w:type="dxa"/>
            <w:shd w:val="clear" w:color="auto" w:fill="DFDFDF"/>
          </w:tcPr>
          <w:p w:rsidR="00A76539" w:rsidRPr="00763CE3" w:rsidRDefault="00A76539" w:rsidP="00763CE3">
            <w:pPr>
              <w:jc w:val="left"/>
              <w:rPr>
                <w:b/>
                <w:color w:val="474747"/>
                <w:sz w:val="22"/>
              </w:rPr>
            </w:pPr>
            <w:r w:rsidRPr="00763CE3">
              <w:rPr>
                <w:b/>
                <w:color w:val="474747"/>
                <w:sz w:val="22"/>
              </w:rPr>
              <w:t>Introduite le</w:t>
            </w:r>
          </w:p>
        </w:tc>
        <w:tc>
          <w:tcPr>
            <w:tcW w:w="2517" w:type="dxa"/>
            <w:shd w:val="clear" w:color="auto" w:fill="DFDFDF"/>
          </w:tcPr>
          <w:p w:rsidR="00A76539" w:rsidRPr="00763CE3" w:rsidRDefault="00A76539" w:rsidP="00763CE3">
            <w:pPr>
              <w:jc w:val="left"/>
              <w:rPr>
                <w:b/>
                <w:color w:val="474747"/>
                <w:sz w:val="22"/>
                <w:lang w:val="fr-FR"/>
              </w:rPr>
            </w:pPr>
            <w:r w:rsidRPr="00763CE3">
              <w:rPr>
                <w:b/>
                <w:color w:val="474747"/>
                <w:sz w:val="22"/>
                <w:lang w:val="fr-FR"/>
              </w:rPr>
              <w:t>Requérant</w:t>
            </w:r>
          </w:p>
          <w:p w:rsidR="00A76539" w:rsidRPr="00763CE3" w:rsidRDefault="00A76539" w:rsidP="00763CE3">
            <w:pPr>
              <w:jc w:val="left"/>
              <w:rPr>
                <w:b/>
                <w:color w:val="474747"/>
                <w:sz w:val="22"/>
                <w:lang w:val="fr-FR"/>
              </w:rPr>
            </w:pPr>
            <w:r w:rsidRPr="00763CE3">
              <w:rPr>
                <w:b/>
                <w:color w:val="474747"/>
                <w:sz w:val="22"/>
                <w:lang w:val="fr-FR"/>
              </w:rPr>
              <w:t>Date de naissance</w:t>
            </w:r>
          </w:p>
          <w:p w:rsidR="00A76539" w:rsidRPr="00763CE3" w:rsidRDefault="00A76539" w:rsidP="00763CE3">
            <w:pPr>
              <w:jc w:val="left"/>
              <w:rPr>
                <w:b/>
                <w:color w:val="474747"/>
                <w:sz w:val="22"/>
                <w:lang w:val="fr-FR"/>
              </w:rPr>
            </w:pPr>
            <w:r w:rsidRPr="00763CE3">
              <w:rPr>
                <w:b/>
                <w:color w:val="474747"/>
                <w:sz w:val="22"/>
                <w:lang w:val="fr-FR"/>
              </w:rPr>
              <w:t>Lieu de résidence</w:t>
            </w:r>
          </w:p>
        </w:tc>
        <w:tc>
          <w:tcPr>
            <w:tcW w:w="2517" w:type="dxa"/>
            <w:shd w:val="clear" w:color="auto" w:fill="DFDFDF"/>
          </w:tcPr>
          <w:p w:rsidR="00A76539" w:rsidRPr="00763CE3" w:rsidRDefault="00A76539" w:rsidP="00763CE3">
            <w:pPr>
              <w:jc w:val="left"/>
              <w:rPr>
                <w:b/>
                <w:color w:val="474747"/>
                <w:sz w:val="22"/>
              </w:rPr>
            </w:pPr>
            <w:r w:rsidRPr="00763CE3">
              <w:rPr>
                <w:b/>
                <w:color w:val="474747"/>
                <w:sz w:val="22"/>
              </w:rPr>
              <w:t>Représenté par</w:t>
            </w:r>
          </w:p>
        </w:tc>
      </w:tr>
      <w:tr w:rsidR="00A76539" w:rsidRPr="00763CE3" w:rsidTr="00763CE3">
        <w:tc>
          <w:tcPr>
            <w:tcW w:w="504" w:type="dxa"/>
          </w:tcPr>
          <w:p w:rsidR="00A76539" w:rsidRPr="00763CE3" w:rsidRDefault="00A76539" w:rsidP="00763CE3">
            <w:pPr>
              <w:pStyle w:val="ListParagraph"/>
              <w:numPr>
                <w:ilvl w:val="0"/>
                <w:numId w:val="35"/>
              </w:numPr>
              <w:tabs>
                <w:tab w:val="num" w:pos="283"/>
              </w:tabs>
              <w:ind w:left="0" w:firstLine="0"/>
              <w:jc w:val="left"/>
              <w:rPr>
                <w:sz w:val="22"/>
              </w:rPr>
            </w:pPr>
          </w:p>
        </w:tc>
        <w:tc>
          <w:tcPr>
            <w:tcW w:w="1440" w:type="dxa"/>
          </w:tcPr>
          <w:p w:rsidR="00A76539" w:rsidRPr="00763CE3" w:rsidRDefault="00A76539" w:rsidP="00763CE3">
            <w:pPr>
              <w:jc w:val="left"/>
              <w:rPr>
                <w:sz w:val="22"/>
              </w:rPr>
            </w:pPr>
            <w:r w:rsidRPr="00763CE3">
              <w:rPr>
                <w:sz w:val="22"/>
              </w:rPr>
              <w:t>58511/13</w:t>
            </w:r>
          </w:p>
        </w:tc>
        <w:tc>
          <w:tcPr>
            <w:tcW w:w="1440" w:type="dxa"/>
          </w:tcPr>
          <w:p w:rsidR="00A76539" w:rsidRPr="00763CE3" w:rsidRDefault="00A76539" w:rsidP="00763CE3">
            <w:pPr>
              <w:jc w:val="left"/>
              <w:rPr>
                <w:sz w:val="22"/>
              </w:rPr>
            </w:pPr>
            <w:r w:rsidRPr="00763CE3">
              <w:rPr>
                <w:sz w:val="22"/>
              </w:rPr>
              <w:t>19/07/2013</w:t>
            </w:r>
          </w:p>
        </w:tc>
        <w:tc>
          <w:tcPr>
            <w:tcW w:w="2517" w:type="dxa"/>
          </w:tcPr>
          <w:p w:rsidR="00A76539" w:rsidRPr="00763CE3" w:rsidRDefault="00A76539" w:rsidP="00763CE3">
            <w:pPr>
              <w:jc w:val="left"/>
              <w:rPr>
                <w:b/>
                <w:sz w:val="22"/>
              </w:rPr>
            </w:pPr>
            <w:r w:rsidRPr="00763CE3">
              <w:rPr>
                <w:b/>
                <w:sz w:val="22"/>
              </w:rPr>
              <w:t>Maria MIGLIORE</w:t>
            </w:r>
          </w:p>
          <w:p w:rsidR="00A76539" w:rsidRPr="00763CE3" w:rsidRDefault="00A76539" w:rsidP="00763CE3">
            <w:pPr>
              <w:jc w:val="left"/>
              <w:rPr>
                <w:sz w:val="22"/>
              </w:rPr>
            </w:pPr>
            <w:r w:rsidRPr="00763CE3">
              <w:rPr>
                <w:sz w:val="22"/>
              </w:rPr>
              <w:t>15/12/1948</w:t>
            </w:r>
          </w:p>
          <w:p w:rsidR="00A76539" w:rsidRPr="00763CE3" w:rsidRDefault="00A76539" w:rsidP="00763CE3">
            <w:pPr>
              <w:jc w:val="left"/>
              <w:rPr>
                <w:sz w:val="22"/>
              </w:rPr>
            </w:pPr>
            <w:r w:rsidRPr="00763CE3">
              <w:rPr>
                <w:sz w:val="22"/>
              </w:rPr>
              <w:t>Naples</w:t>
            </w:r>
          </w:p>
          <w:p w:rsidR="00A76539" w:rsidRPr="00763CE3" w:rsidRDefault="00A76539" w:rsidP="00763CE3">
            <w:pPr>
              <w:jc w:val="left"/>
              <w:rPr>
                <w:sz w:val="22"/>
              </w:rPr>
            </w:pPr>
          </w:p>
        </w:tc>
        <w:tc>
          <w:tcPr>
            <w:tcW w:w="2517" w:type="dxa"/>
          </w:tcPr>
          <w:p w:rsidR="00A76539" w:rsidRPr="00763CE3" w:rsidRDefault="00A76539" w:rsidP="00763CE3">
            <w:pPr>
              <w:jc w:val="left"/>
              <w:rPr>
                <w:sz w:val="22"/>
              </w:rPr>
            </w:pPr>
            <w:r w:rsidRPr="00763CE3">
              <w:rPr>
                <w:sz w:val="22"/>
              </w:rPr>
              <w:t>Alfonso Luigi MARRA</w:t>
            </w:r>
          </w:p>
        </w:tc>
      </w:tr>
      <w:tr w:rsidR="00A76539" w:rsidRPr="00763CE3" w:rsidTr="00763CE3">
        <w:tc>
          <w:tcPr>
            <w:tcW w:w="504" w:type="dxa"/>
          </w:tcPr>
          <w:p w:rsidR="00A76539" w:rsidRPr="00763CE3" w:rsidRDefault="00A76539" w:rsidP="00763CE3">
            <w:pPr>
              <w:pStyle w:val="ListParagraph"/>
              <w:numPr>
                <w:ilvl w:val="0"/>
                <w:numId w:val="35"/>
              </w:numPr>
              <w:tabs>
                <w:tab w:val="num" w:pos="283"/>
              </w:tabs>
              <w:ind w:left="0" w:firstLine="0"/>
              <w:jc w:val="left"/>
              <w:rPr>
                <w:sz w:val="22"/>
              </w:rPr>
            </w:pPr>
          </w:p>
        </w:tc>
        <w:tc>
          <w:tcPr>
            <w:tcW w:w="1440" w:type="dxa"/>
          </w:tcPr>
          <w:p w:rsidR="00A76539" w:rsidRPr="00763CE3" w:rsidRDefault="00A76539" w:rsidP="00763CE3">
            <w:pPr>
              <w:jc w:val="left"/>
              <w:rPr>
                <w:sz w:val="22"/>
              </w:rPr>
            </w:pPr>
            <w:r w:rsidRPr="00763CE3">
              <w:rPr>
                <w:sz w:val="22"/>
              </w:rPr>
              <w:t>59971/13</w:t>
            </w:r>
          </w:p>
        </w:tc>
        <w:tc>
          <w:tcPr>
            <w:tcW w:w="1440" w:type="dxa"/>
          </w:tcPr>
          <w:p w:rsidR="00A76539" w:rsidRPr="00763CE3" w:rsidRDefault="00A76539" w:rsidP="00763CE3">
            <w:pPr>
              <w:jc w:val="left"/>
              <w:rPr>
                <w:sz w:val="22"/>
              </w:rPr>
            </w:pPr>
            <w:r w:rsidRPr="00763CE3">
              <w:rPr>
                <w:sz w:val="22"/>
              </w:rPr>
              <w:t>14/06/2013</w:t>
            </w:r>
          </w:p>
        </w:tc>
        <w:tc>
          <w:tcPr>
            <w:tcW w:w="2517" w:type="dxa"/>
          </w:tcPr>
          <w:p w:rsidR="00A76539" w:rsidRPr="00763CE3" w:rsidRDefault="00A76539" w:rsidP="00763CE3">
            <w:pPr>
              <w:jc w:val="left"/>
              <w:rPr>
                <w:b/>
                <w:sz w:val="22"/>
              </w:rPr>
            </w:pPr>
            <w:r w:rsidRPr="00763CE3">
              <w:rPr>
                <w:b/>
                <w:sz w:val="22"/>
              </w:rPr>
              <w:t>Carlo GALLO</w:t>
            </w:r>
          </w:p>
          <w:p w:rsidR="00A76539" w:rsidRPr="00763CE3" w:rsidRDefault="00A76539" w:rsidP="00763CE3">
            <w:pPr>
              <w:jc w:val="left"/>
              <w:rPr>
                <w:sz w:val="22"/>
              </w:rPr>
            </w:pPr>
            <w:r w:rsidRPr="00763CE3">
              <w:rPr>
                <w:sz w:val="22"/>
              </w:rPr>
              <w:t>19/08/1966</w:t>
            </w:r>
          </w:p>
          <w:p w:rsidR="00A76539" w:rsidRPr="00763CE3" w:rsidRDefault="00A76539" w:rsidP="00763CE3">
            <w:pPr>
              <w:jc w:val="left"/>
              <w:rPr>
                <w:sz w:val="22"/>
              </w:rPr>
            </w:pPr>
            <w:r w:rsidRPr="00763CE3">
              <w:rPr>
                <w:sz w:val="22"/>
              </w:rPr>
              <w:t>Naples</w:t>
            </w:r>
          </w:p>
          <w:p w:rsidR="00A76539" w:rsidRPr="00763CE3" w:rsidRDefault="00A76539" w:rsidP="00763CE3">
            <w:pPr>
              <w:jc w:val="left"/>
              <w:rPr>
                <w:sz w:val="22"/>
              </w:rPr>
            </w:pPr>
          </w:p>
        </w:tc>
        <w:tc>
          <w:tcPr>
            <w:tcW w:w="2517" w:type="dxa"/>
          </w:tcPr>
          <w:p w:rsidR="00A76539" w:rsidRPr="00763CE3" w:rsidRDefault="00A76539" w:rsidP="00763CE3">
            <w:pPr>
              <w:jc w:val="left"/>
              <w:rPr>
                <w:sz w:val="22"/>
              </w:rPr>
            </w:pPr>
            <w:r w:rsidRPr="00763CE3">
              <w:rPr>
                <w:sz w:val="22"/>
              </w:rPr>
              <w:t>Alfonso Luigi MARRA</w:t>
            </w:r>
          </w:p>
        </w:tc>
      </w:tr>
      <w:tr w:rsidR="00A76539" w:rsidRPr="00763CE3" w:rsidTr="00763CE3">
        <w:tc>
          <w:tcPr>
            <w:tcW w:w="504" w:type="dxa"/>
          </w:tcPr>
          <w:p w:rsidR="00A76539" w:rsidRPr="00763CE3" w:rsidRDefault="00A76539" w:rsidP="00763CE3">
            <w:pPr>
              <w:pStyle w:val="ListParagraph"/>
              <w:numPr>
                <w:ilvl w:val="0"/>
                <w:numId w:val="35"/>
              </w:numPr>
              <w:tabs>
                <w:tab w:val="num" w:pos="283"/>
              </w:tabs>
              <w:ind w:left="0" w:firstLine="0"/>
              <w:jc w:val="left"/>
              <w:rPr>
                <w:sz w:val="22"/>
              </w:rPr>
            </w:pPr>
          </w:p>
        </w:tc>
        <w:tc>
          <w:tcPr>
            <w:tcW w:w="1440" w:type="dxa"/>
          </w:tcPr>
          <w:p w:rsidR="00A76539" w:rsidRPr="00763CE3" w:rsidRDefault="00A76539" w:rsidP="00763CE3">
            <w:pPr>
              <w:jc w:val="left"/>
              <w:rPr>
                <w:sz w:val="22"/>
              </w:rPr>
            </w:pPr>
            <w:r w:rsidRPr="00763CE3">
              <w:rPr>
                <w:sz w:val="22"/>
              </w:rPr>
              <w:t>59987/13</w:t>
            </w:r>
          </w:p>
        </w:tc>
        <w:tc>
          <w:tcPr>
            <w:tcW w:w="1440" w:type="dxa"/>
          </w:tcPr>
          <w:p w:rsidR="00A76539" w:rsidRPr="00763CE3" w:rsidRDefault="00A76539" w:rsidP="00763CE3">
            <w:pPr>
              <w:jc w:val="left"/>
              <w:rPr>
                <w:sz w:val="22"/>
              </w:rPr>
            </w:pPr>
            <w:r w:rsidRPr="00763CE3">
              <w:rPr>
                <w:sz w:val="22"/>
              </w:rPr>
              <w:t>29/07/2013</w:t>
            </w:r>
          </w:p>
        </w:tc>
        <w:tc>
          <w:tcPr>
            <w:tcW w:w="2517" w:type="dxa"/>
          </w:tcPr>
          <w:p w:rsidR="00A76539" w:rsidRPr="00763CE3" w:rsidRDefault="00A76539" w:rsidP="00763CE3">
            <w:pPr>
              <w:jc w:val="left"/>
              <w:rPr>
                <w:b/>
                <w:sz w:val="22"/>
              </w:rPr>
            </w:pPr>
            <w:r w:rsidRPr="00763CE3">
              <w:rPr>
                <w:b/>
                <w:sz w:val="22"/>
              </w:rPr>
              <w:t>Immacolata BUSIELLO</w:t>
            </w:r>
          </w:p>
          <w:p w:rsidR="00A76539" w:rsidRPr="00763CE3" w:rsidRDefault="00A76539" w:rsidP="00763CE3">
            <w:pPr>
              <w:jc w:val="left"/>
              <w:rPr>
                <w:sz w:val="22"/>
              </w:rPr>
            </w:pPr>
            <w:r w:rsidRPr="00763CE3">
              <w:rPr>
                <w:sz w:val="22"/>
              </w:rPr>
              <w:t>09/06/1950</w:t>
            </w:r>
          </w:p>
          <w:p w:rsidR="00A76539" w:rsidRPr="00763CE3" w:rsidRDefault="00A76539" w:rsidP="00763CE3">
            <w:pPr>
              <w:jc w:val="left"/>
              <w:rPr>
                <w:sz w:val="22"/>
              </w:rPr>
            </w:pPr>
            <w:r w:rsidRPr="00763CE3">
              <w:rPr>
                <w:sz w:val="22"/>
              </w:rPr>
              <w:t>Volla</w:t>
            </w:r>
          </w:p>
          <w:p w:rsidR="00A76539" w:rsidRPr="00763CE3" w:rsidRDefault="00A76539" w:rsidP="00763CE3">
            <w:pPr>
              <w:jc w:val="left"/>
              <w:rPr>
                <w:sz w:val="22"/>
              </w:rPr>
            </w:pPr>
          </w:p>
        </w:tc>
        <w:tc>
          <w:tcPr>
            <w:tcW w:w="2517" w:type="dxa"/>
          </w:tcPr>
          <w:p w:rsidR="00A76539" w:rsidRPr="00763CE3" w:rsidRDefault="00A76539" w:rsidP="00763CE3">
            <w:pPr>
              <w:jc w:val="left"/>
              <w:rPr>
                <w:sz w:val="22"/>
              </w:rPr>
            </w:pPr>
            <w:r w:rsidRPr="00763CE3">
              <w:rPr>
                <w:sz w:val="22"/>
              </w:rPr>
              <w:t>Alfonso Luigi MARRA</w:t>
            </w:r>
            <w:bookmarkStart w:id="1" w:name="TableEnd"/>
            <w:bookmarkEnd w:id="1"/>
          </w:p>
        </w:tc>
      </w:tr>
    </w:tbl>
    <w:p w:rsidR="00A76539" w:rsidRPr="00E80E74" w:rsidRDefault="00A76539" w:rsidP="008106D8"/>
    <w:p w:rsidR="00A76539" w:rsidRPr="000903DC" w:rsidRDefault="00A76539" w:rsidP="002E7061"/>
    <w:sectPr w:rsidR="00A76539" w:rsidRPr="000903DC" w:rsidSect="0010023A">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39" w:rsidRDefault="00A76539">
      <w:r>
        <w:separator/>
      </w:r>
    </w:p>
  </w:endnote>
  <w:endnote w:type="continuationSeparator" w:id="0">
    <w:p w:rsidR="00A76539" w:rsidRDefault="00A76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39" w:rsidRPr="00150BFA" w:rsidRDefault="00A76539" w:rsidP="0020718E">
    <w:pPr>
      <w:jc w:val="center"/>
    </w:pPr>
    <w:r w:rsidRPr="00763CE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style="width:60pt;height:48pt;visibility:visible">
          <v:imagedata r:id="rId1" o:title=""/>
        </v:shape>
      </w:pict>
    </w:r>
  </w:p>
  <w:p w:rsidR="00A76539" w:rsidRPr="00633A19" w:rsidRDefault="00A76539"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39" w:rsidRDefault="00A76539">
      <w:r>
        <w:separator/>
      </w:r>
    </w:p>
  </w:footnote>
  <w:footnote w:type="continuationSeparator" w:id="0">
    <w:p w:rsidR="00A76539" w:rsidRDefault="00A76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39" w:rsidRPr="008106D8" w:rsidRDefault="00A76539" w:rsidP="001472F0">
    <w:pPr>
      <w:pStyle w:val="ECHRHeader"/>
    </w:pPr>
    <w:r w:rsidRPr="008106D8">
      <w:rPr>
        <w:rStyle w:val="PageNumber"/>
      </w:rPr>
      <w:fldChar w:fldCharType="begin"/>
    </w:r>
    <w:r w:rsidRPr="008106D8">
      <w:rPr>
        <w:rStyle w:val="PageNumber"/>
      </w:rPr>
      <w:instrText xml:space="preserve"> PAGE </w:instrText>
    </w:r>
    <w:r w:rsidRPr="008106D8">
      <w:rPr>
        <w:rStyle w:val="PageNumber"/>
      </w:rPr>
      <w:fldChar w:fldCharType="separate"/>
    </w:r>
    <w:r>
      <w:rPr>
        <w:rStyle w:val="PageNumber"/>
        <w:noProof/>
      </w:rPr>
      <w:t>2</w:t>
    </w:r>
    <w:r w:rsidRPr="008106D8">
      <w:rPr>
        <w:rStyle w:val="PageNumber"/>
      </w:rPr>
      <w:fldChar w:fldCharType="end"/>
    </w:r>
    <w:r w:rsidRPr="008106D8">
      <w:tab/>
      <w:t>DÉCISION MIGLIORE c. ITALIE</w:t>
    </w:r>
    <w:r w:rsidRPr="008106D8">
      <w:rPr>
        <w:noProof/>
      </w:rPr>
      <w:t xml:space="preserve"> ET AUTRES REQUÊTES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39" w:rsidRPr="008106D8" w:rsidRDefault="00A76539" w:rsidP="001472F0">
    <w:pPr>
      <w:pStyle w:val="ECHRHeader"/>
    </w:pPr>
    <w:r>
      <w:tab/>
    </w:r>
    <w:r w:rsidRPr="008106D8">
      <w:t>DÉCISION MIGLIORE c. ITALIE</w:t>
    </w:r>
    <w:r>
      <w:rPr>
        <w:noProof/>
      </w:rPr>
      <w:t xml:space="preserve"> ET </w:t>
    </w:r>
    <w:r w:rsidRPr="008106D8">
      <w:rPr>
        <w:noProof/>
      </w:rPr>
      <w:t>AUTRES REQUÊTES</w:t>
    </w:r>
    <w:r w:rsidRPr="008106D8">
      <w:tab/>
    </w:r>
    <w:r w:rsidRPr="008106D8">
      <w:rPr>
        <w:rStyle w:val="PageNumber"/>
      </w:rPr>
      <w:fldChar w:fldCharType="begin"/>
    </w:r>
    <w:r w:rsidRPr="008106D8">
      <w:rPr>
        <w:rStyle w:val="PageNumber"/>
      </w:rPr>
      <w:instrText xml:space="preserve"> PAGE </w:instrText>
    </w:r>
    <w:r w:rsidRPr="008106D8">
      <w:rPr>
        <w:rStyle w:val="PageNumber"/>
      </w:rPr>
      <w:fldChar w:fldCharType="separate"/>
    </w:r>
    <w:r>
      <w:rPr>
        <w:rStyle w:val="PageNumber"/>
        <w:noProof/>
      </w:rPr>
      <w:t>4</w:t>
    </w:r>
    <w:r w:rsidRPr="008106D8">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39" w:rsidRPr="00A45145" w:rsidRDefault="00A76539" w:rsidP="00A45145">
    <w:pPr>
      <w:jc w:val="center"/>
    </w:pPr>
    <w:r w:rsidRPr="00763CE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231.75pt;height:95.25pt;visibility:visible">
          <v:imagedata r:id="rId1" o:title=""/>
        </v:shape>
      </w:pict>
    </w:r>
  </w:p>
  <w:p w:rsidR="00A76539" w:rsidRDefault="00A76539"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62C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0D2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168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5A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89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9C40"/>
    <w:lvl w:ilvl="0">
      <w:start w:val="1"/>
      <w:numFmt w:val="bullet"/>
      <w:lvlText w:val=""/>
      <w:lvlJc w:val="left"/>
      <w:pPr>
        <w:tabs>
          <w:tab w:val="num" w:pos="360"/>
        </w:tabs>
        <w:ind w:left="360" w:hanging="360"/>
      </w:pPr>
      <w:rPr>
        <w:rFonts w:ascii="Symbol" w:hAnsi="Symbol" w:hint="default"/>
      </w:rPr>
    </w:lvl>
  </w:abstractNum>
  <w:abstractNum w:abstractNumId="10">
    <w:nsid w:val="16A20709"/>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A9D37F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D7E10C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D50D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949206E"/>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0823F54"/>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74036BC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7BB70006"/>
    <w:multiLevelType w:val="hybridMultilevel"/>
    <w:tmpl w:val="24F2B1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D1205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7"/>
  </w:num>
  <w:num w:numId="23">
    <w:abstractNumId w:val="10"/>
  </w:num>
  <w:num w:numId="24">
    <w:abstractNumId w:val="13"/>
  </w:num>
  <w:num w:numId="25">
    <w:abstractNumId w:val="11"/>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5"/>
  </w:num>
  <w:num w:numId="37">
    <w:abstractNumId w:val="14"/>
  </w:num>
  <w:num w:numId="38">
    <w:abstractNumId w:val="19"/>
  </w:num>
  <w:num w:numId="39">
    <w:abstractNumId w:val="16"/>
  </w:num>
  <w:num w:numId="40">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804"/>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8106D8"/>
    <w:rsid w:val="00023136"/>
    <w:rsid w:val="00032F1D"/>
    <w:rsid w:val="000549FE"/>
    <w:rsid w:val="00060A56"/>
    <w:rsid w:val="00065108"/>
    <w:rsid w:val="000776E7"/>
    <w:rsid w:val="000903DC"/>
    <w:rsid w:val="00090C1A"/>
    <w:rsid w:val="0009673E"/>
    <w:rsid w:val="000A1401"/>
    <w:rsid w:val="000D527F"/>
    <w:rsid w:val="000F3088"/>
    <w:rsid w:val="000F6A08"/>
    <w:rsid w:val="0010023A"/>
    <w:rsid w:val="00107930"/>
    <w:rsid w:val="00112D62"/>
    <w:rsid w:val="0011604E"/>
    <w:rsid w:val="001472F0"/>
    <w:rsid w:val="00150BFA"/>
    <w:rsid w:val="00154F16"/>
    <w:rsid w:val="001564E4"/>
    <w:rsid w:val="00166FBD"/>
    <w:rsid w:val="00172736"/>
    <w:rsid w:val="001D1FA9"/>
    <w:rsid w:val="00203AD0"/>
    <w:rsid w:val="00205AA5"/>
    <w:rsid w:val="0020718E"/>
    <w:rsid w:val="002118F8"/>
    <w:rsid w:val="00220C32"/>
    <w:rsid w:val="00226A7D"/>
    <w:rsid w:val="002532BA"/>
    <w:rsid w:val="00255060"/>
    <w:rsid w:val="00261CBA"/>
    <w:rsid w:val="0027093D"/>
    <w:rsid w:val="002712D0"/>
    <w:rsid w:val="002770EA"/>
    <w:rsid w:val="0028619D"/>
    <w:rsid w:val="002B6B52"/>
    <w:rsid w:val="002D6308"/>
    <w:rsid w:val="002E58E5"/>
    <w:rsid w:val="002E7061"/>
    <w:rsid w:val="002F274E"/>
    <w:rsid w:val="00310822"/>
    <w:rsid w:val="0031317E"/>
    <w:rsid w:val="003146E4"/>
    <w:rsid w:val="0032205F"/>
    <w:rsid w:val="0034473C"/>
    <w:rsid w:val="0036750A"/>
    <w:rsid w:val="00385AD6"/>
    <w:rsid w:val="003B16FB"/>
    <w:rsid w:val="003C22C1"/>
    <w:rsid w:val="003C36F5"/>
    <w:rsid w:val="003D0B23"/>
    <w:rsid w:val="003F25B2"/>
    <w:rsid w:val="00400961"/>
    <w:rsid w:val="00407DAE"/>
    <w:rsid w:val="00420AA8"/>
    <w:rsid w:val="0043272E"/>
    <w:rsid w:val="00463970"/>
    <w:rsid w:val="00493AB0"/>
    <w:rsid w:val="00493E46"/>
    <w:rsid w:val="004A3858"/>
    <w:rsid w:val="004B31F3"/>
    <w:rsid w:val="005037AE"/>
    <w:rsid w:val="00540FD1"/>
    <w:rsid w:val="0055077E"/>
    <w:rsid w:val="005A42E8"/>
    <w:rsid w:val="005B6C5B"/>
    <w:rsid w:val="005E5D17"/>
    <w:rsid w:val="005F5CB1"/>
    <w:rsid w:val="00633392"/>
    <w:rsid w:val="00633A19"/>
    <w:rsid w:val="00684F0E"/>
    <w:rsid w:val="006A2B72"/>
    <w:rsid w:val="006A7B93"/>
    <w:rsid w:val="006B3D80"/>
    <w:rsid w:val="006E27C0"/>
    <w:rsid w:val="00710D45"/>
    <w:rsid w:val="00763CE3"/>
    <w:rsid w:val="007651AE"/>
    <w:rsid w:val="007A309B"/>
    <w:rsid w:val="007D76BA"/>
    <w:rsid w:val="007F129C"/>
    <w:rsid w:val="00801124"/>
    <w:rsid w:val="00803C18"/>
    <w:rsid w:val="008106D8"/>
    <w:rsid w:val="008136EC"/>
    <w:rsid w:val="00832AA9"/>
    <w:rsid w:val="00844B64"/>
    <w:rsid w:val="008579EB"/>
    <w:rsid w:val="00865E41"/>
    <w:rsid w:val="00874A8F"/>
    <w:rsid w:val="00875B0A"/>
    <w:rsid w:val="008B50BD"/>
    <w:rsid w:val="008E63DB"/>
    <w:rsid w:val="00922913"/>
    <w:rsid w:val="00925352"/>
    <w:rsid w:val="00927DD4"/>
    <w:rsid w:val="0093692A"/>
    <w:rsid w:val="00951231"/>
    <w:rsid w:val="009730E8"/>
    <w:rsid w:val="009778E2"/>
    <w:rsid w:val="00984EA3"/>
    <w:rsid w:val="009927A5"/>
    <w:rsid w:val="009A7AF9"/>
    <w:rsid w:val="009B224F"/>
    <w:rsid w:val="009B447D"/>
    <w:rsid w:val="009B451E"/>
    <w:rsid w:val="009B5280"/>
    <w:rsid w:val="009C5B66"/>
    <w:rsid w:val="00A04C71"/>
    <w:rsid w:val="00A07FAD"/>
    <w:rsid w:val="00A144FE"/>
    <w:rsid w:val="00A17FA0"/>
    <w:rsid w:val="00A45145"/>
    <w:rsid w:val="00A76539"/>
    <w:rsid w:val="00A95342"/>
    <w:rsid w:val="00AA7712"/>
    <w:rsid w:val="00AC51AB"/>
    <w:rsid w:val="00B1214B"/>
    <w:rsid w:val="00B17EB3"/>
    <w:rsid w:val="00B31208"/>
    <w:rsid w:val="00B32A42"/>
    <w:rsid w:val="00B43BED"/>
    <w:rsid w:val="00B5195D"/>
    <w:rsid w:val="00B779A1"/>
    <w:rsid w:val="00B82A8F"/>
    <w:rsid w:val="00BB340A"/>
    <w:rsid w:val="00BF1267"/>
    <w:rsid w:val="00BF2FDC"/>
    <w:rsid w:val="00C44B65"/>
    <w:rsid w:val="00C7172B"/>
    <w:rsid w:val="00C92045"/>
    <w:rsid w:val="00CB4FC2"/>
    <w:rsid w:val="00CC7EC4"/>
    <w:rsid w:val="00D25AE8"/>
    <w:rsid w:val="00D83B17"/>
    <w:rsid w:val="00DA7E94"/>
    <w:rsid w:val="00DB28B4"/>
    <w:rsid w:val="00DB5EE7"/>
    <w:rsid w:val="00DC44E5"/>
    <w:rsid w:val="00DD2564"/>
    <w:rsid w:val="00DD3C37"/>
    <w:rsid w:val="00E646EC"/>
    <w:rsid w:val="00E6776A"/>
    <w:rsid w:val="00E80E74"/>
    <w:rsid w:val="00EB6E07"/>
    <w:rsid w:val="00EC49B5"/>
    <w:rsid w:val="00ED11F0"/>
    <w:rsid w:val="00EE39D3"/>
    <w:rsid w:val="00F12B8E"/>
    <w:rsid w:val="00F24036"/>
    <w:rsid w:val="00F275F4"/>
    <w:rsid w:val="00F32538"/>
    <w:rsid w:val="00F47495"/>
    <w:rsid w:val="00F658A0"/>
    <w:rsid w:val="00F702D1"/>
    <w:rsid w:val="00F706B5"/>
    <w:rsid w:val="00F80514"/>
    <w:rsid w:val="00F9591F"/>
    <w:rsid w:val="00F9710C"/>
    <w:rsid w:val="00FA22CA"/>
    <w:rsid w:val="00FA5B45"/>
    <w:rsid w:val="00FC2561"/>
    <w:rsid w:val="00FD6C5C"/>
    <w:rsid w:val="00FE66B9"/>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50A"/>
    <w:pPr>
      <w:jc w:val="both"/>
    </w:pPr>
    <w:rPr>
      <w:rFonts w:eastAsia="MS Mincho"/>
      <w:sz w:val="24"/>
      <w:lang w:val="en-US" w:eastAsia="en-US"/>
    </w:rPr>
  </w:style>
  <w:style w:type="paragraph" w:styleId="Heading1">
    <w:name w:val="heading 1"/>
    <w:basedOn w:val="Normal"/>
    <w:next w:val="Normal"/>
    <w:link w:val="Heading1Char"/>
    <w:uiPriority w:val="99"/>
    <w:qFormat/>
    <w:rsid w:val="0036750A"/>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6750A"/>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6750A"/>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6750A"/>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6750A"/>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36750A"/>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6750A"/>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36750A"/>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36750A"/>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A"/>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locked/>
    <w:rsid w:val="0036750A"/>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locked/>
    <w:rsid w:val="0036750A"/>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locked/>
    <w:rsid w:val="0036750A"/>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locked/>
    <w:rsid w:val="003675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6750A"/>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locked/>
    <w:rsid w:val="0036750A"/>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3675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36750A"/>
    <w:rPr>
      <w:rFonts w:ascii="Times New Roman" w:eastAsia="MS Gothic" w:hAnsi="Times New Roman" w:cs="Times New Roman"/>
      <w:i/>
      <w:iCs/>
      <w:spacing w:val="5"/>
      <w:sz w:val="20"/>
      <w:szCs w:val="20"/>
    </w:rPr>
  </w:style>
  <w:style w:type="paragraph" w:styleId="Header">
    <w:name w:val="header"/>
    <w:basedOn w:val="Normal"/>
    <w:link w:val="HeaderChar"/>
    <w:uiPriority w:val="99"/>
    <w:semiHidden/>
    <w:rsid w:val="0036750A"/>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36750A"/>
    <w:rPr>
      <w:rFonts w:cs="Times New Roman"/>
      <w:sz w:val="24"/>
      <w:lang w:val="en-US" w:eastAsia="en-US"/>
    </w:rPr>
  </w:style>
  <w:style w:type="paragraph" w:styleId="FootnoteText">
    <w:name w:val="footnote text"/>
    <w:basedOn w:val="Normal"/>
    <w:link w:val="FootnoteTextChar"/>
    <w:uiPriority w:val="99"/>
    <w:semiHidden/>
    <w:rsid w:val="0036750A"/>
    <w:rPr>
      <w:sz w:val="20"/>
      <w:szCs w:val="20"/>
    </w:rPr>
  </w:style>
  <w:style w:type="character" w:customStyle="1" w:styleId="FootnoteTextChar">
    <w:name w:val="Footnote Text Char"/>
    <w:basedOn w:val="DefaultParagraphFont"/>
    <w:link w:val="FootnoteText"/>
    <w:uiPriority w:val="99"/>
    <w:semiHidden/>
    <w:locked/>
    <w:rsid w:val="0036750A"/>
    <w:rPr>
      <w:rFonts w:eastAsia="MS Mincho" w:cs="Times New Roman"/>
      <w:sz w:val="20"/>
      <w:szCs w:val="20"/>
      <w:lang w:val="en-US" w:eastAsia="en-US"/>
    </w:rPr>
  </w:style>
  <w:style w:type="paragraph" w:styleId="Footer">
    <w:name w:val="footer"/>
    <w:basedOn w:val="Normal"/>
    <w:link w:val="FooterChar"/>
    <w:uiPriority w:val="99"/>
    <w:semiHidden/>
    <w:rsid w:val="0036750A"/>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locked/>
    <w:rsid w:val="0036750A"/>
    <w:rPr>
      <w:rFonts w:cs="Times New Roman"/>
      <w:sz w:val="24"/>
      <w:lang w:val="en-US" w:eastAsia="en-US"/>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styleId="FootnoteReference">
    <w:name w:val="footnote reference"/>
    <w:basedOn w:val="DefaultParagraphFont"/>
    <w:uiPriority w:val="99"/>
    <w:semiHidden/>
    <w:rsid w:val="0036750A"/>
    <w:rPr>
      <w:rFonts w:cs="Times New Roman"/>
      <w:vertAlign w:val="superscript"/>
    </w:rPr>
  </w:style>
  <w:style w:type="character" w:styleId="CommentReference">
    <w:name w:val="annotation reference"/>
    <w:basedOn w:val="DefaultParagraphFont"/>
    <w:uiPriority w:val="99"/>
    <w:semiHidden/>
    <w:rsid w:val="00A07FAD"/>
    <w:rPr>
      <w:rFonts w:cs="Times New Roman"/>
      <w:sz w:val="16"/>
    </w:rPr>
  </w:style>
  <w:style w:type="paragraph" w:styleId="CommentText">
    <w:name w:val="annotation text"/>
    <w:basedOn w:val="Normal"/>
    <w:link w:val="CommentTextChar"/>
    <w:uiPriority w:val="99"/>
    <w:semiHidden/>
    <w:rsid w:val="00A07FAD"/>
    <w:rPr>
      <w:sz w:val="20"/>
    </w:rPr>
  </w:style>
  <w:style w:type="character" w:customStyle="1" w:styleId="CommentTextChar">
    <w:name w:val="Comment Text Char"/>
    <w:basedOn w:val="DefaultParagraphFont"/>
    <w:link w:val="CommentText"/>
    <w:uiPriority w:val="99"/>
    <w:semiHidden/>
    <w:locked/>
    <w:rsid w:val="0036750A"/>
    <w:rPr>
      <w:rFonts w:eastAsia="MS Mincho" w:cs="Times New Roman"/>
      <w:sz w:val="20"/>
      <w:lang w:val="en-US" w:eastAsia="en-US"/>
    </w:rPr>
  </w:style>
  <w:style w:type="character" w:customStyle="1" w:styleId="BalloonTextChar">
    <w:name w:val="Balloon Text Char"/>
    <w:basedOn w:val="DefaultParagraphFont"/>
    <w:link w:val="BalloonText"/>
    <w:uiPriority w:val="99"/>
    <w:semiHidden/>
    <w:locked/>
    <w:rsid w:val="0036750A"/>
    <w:rPr>
      <w:rFonts w:ascii="Tahoma" w:eastAsia="MS Mincho" w:hAnsi="Tahoma" w:cs="Tahoma"/>
      <w:sz w:val="16"/>
      <w:szCs w:val="16"/>
      <w:lang w:val="en-US" w:eastAsia="en-US"/>
    </w:rPr>
  </w:style>
  <w:style w:type="paragraph" w:customStyle="1" w:styleId="ECHRFooter">
    <w:name w:val="ECHR_Footer"/>
    <w:aliases w:val="Footer_ECHR"/>
    <w:basedOn w:val="Footer"/>
    <w:uiPriority w:val="99"/>
    <w:semiHidden/>
    <w:rsid w:val="0036750A"/>
  </w:style>
  <w:style w:type="paragraph" w:customStyle="1" w:styleId="ECHRPara">
    <w:name w:val="ECHR_Para"/>
    <w:aliases w:val="Ju_Para,Left,First line:  0 cm"/>
    <w:basedOn w:val="Normal"/>
    <w:link w:val="JuParaChar"/>
    <w:uiPriority w:val="99"/>
    <w:rsid w:val="0036750A"/>
    <w:pPr>
      <w:ind w:firstLine="284"/>
    </w:pPr>
    <w:rPr>
      <w:lang w:val="fr-FR" w:eastAsia="fr-FR"/>
    </w:rPr>
  </w:style>
  <w:style w:type="paragraph" w:customStyle="1" w:styleId="ECHRFooterLine">
    <w:name w:val="ECHR_Footer_Line"/>
    <w:aliases w:val="Footer_Line"/>
    <w:basedOn w:val="Normal"/>
    <w:next w:val="ECHRFooter"/>
    <w:uiPriority w:val="99"/>
    <w:semiHidden/>
    <w:rsid w:val="0036750A"/>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36750A"/>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rsid w:val="0036750A"/>
    <w:pPr>
      <w:numPr>
        <w:numId w:val="22"/>
      </w:numPr>
      <w:jc w:val="left"/>
    </w:pPr>
    <w:rPr>
      <w:b/>
      <w:lang w:val="fr-FR" w:eastAsia="fr-FR"/>
    </w:rPr>
  </w:style>
  <w:style w:type="paragraph" w:customStyle="1" w:styleId="OpiPara">
    <w:name w:val="Opi_Para"/>
    <w:basedOn w:val="ECHRPara"/>
    <w:uiPriority w:val="99"/>
    <w:semiHidden/>
    <w:rsid w:val="0036750A"/>
  </w:style>
  <w:style w:type="paragraph" w:customStyle="1" w:styleId="ECHRParaQuote">
    <w:name w:val="ECHR_Para_Quote"/>
    <w:aliases w:val="Ju_Quot"/>
    <w:basedOn w:val="Normal"/>
    <w:uiPriority w:val="99"/>
    <w:rsid w:val="0036750A"/>
    <w:pPr>
      <w:spacing w:before="120" w:after="120"/>
      <w:ind w:left="425" w:firstLine="142"/>
    </w:pPr>
    <w:rPr>
      <w:sz w:val="20"/>
      <w:lang w:val="fr-FR" w:eastAsia="fr-FR"/>
    </w:rPr>
  </w:style>
  <w:style w:type="paragraph" w:customStyle="1" w:styleId="JuParaSub">
    <w:name w:val="Ju_Para_Sub"/>
    <w:basedOn w:val="ECHRPara"/>
    <w:uiPriority w:val="99"/>
    <w:rsid w:val="0036750A"/>
    <w:pPr>
      <w:ind w:left="284"/>
    </w:pPr>
  </w:style>
  <w:style w:type="paragraph" w:customStyle="1" w:styleId="OpiParaSub">
    <w:name w:val="Opi_Para_Sub"/>
    <w:basedOn w:val="JuParaSub"/>
    <w:uiPriority w:val="99"/>
    <w:semiHidden/>
    <w:rsid w:val="0036750A"/>
  </w:style>
  <w:style w:type="paragraph" w:customStyle="1" w:styleId="JuSigned">
    <w:name w:val="Ju_Signed"/>
    <w:basedOn w:val="Normal"/>
    <w:next w:val="JuParaLast"/>
    <w:uiPriority w:val="99"/>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99"/>
    <w:semiHidden/>
    <w:rsid w:val="0036750A"/>
  </w:style>
  <w:style w:type="paragraph" w:customStyle="1" w:styleId="OpiQuotSub">
    <w:name w:val="Opi_Quot_Sub"/>
    <w:basedOn w:val="JuQuotSub"/>
    <w:uiPriority w:val="99"/>
    <w:semiHidden/>
    <w:rsid w:val="0036750A"/>
  </w:style>
  <w:style w:type="table" w:styleId="TableGrid">
    <w:name w:val="Table Grid"/>
    <w:basedOn w:val="TableNormal"/>
    <w:uiPriority w:val="99"/>
    <w:semiHidden/>
    <w:rsid w:val="0036750A"/>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link w:val="DocumentMapChar"/>
    <w:uiPriority w:val="99"/>
    <w:semiHidden/>
    <w:rsid w:val="001160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B06D3"/>
    <w:rPr>
      <w:rFonts w:eastAsia="MS Mincho"/>
      <w:sz w:val="0"/>
      <w:szCs w:val="0"/>
      <w:lang w:val="en-US" w:eastAsia="en-US"/>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99"/>
    <w:rsid w:val="0036750A"/>
    <w:pPr>
      <w:keepNext/>
      <w:keepLines/>
      <w:spacing w:before="240" w:after="120"/>
      <w:jc w:val="center"/>
      <w:outlineLvl w:val="3"/>
    </w:pPr>
    <w:rPr>
      <w:b/>
      <w:sz w:val="20"/>
      <w:lang w:val="fr-FR" w:eastAsia="fr-FR"/>
    </w:rPr>
  </w:style>
  <w:style w:type="paragraph" w:customStyle="1" w:styleId="JuTitle">
    <w:name w:val="Ju_Title"/>
    <w:basedOn w:val="Normal"/>
    <w:next w:val="ECHRPara"/>
    <w:uiPriority w:val="99"/>
    <w:rsid w:val="0036750A"/>
    <w:pPr>
      <w:spacing w:before="720" w:after="240"/>
      <w:jc w:val="center"/>
      <w:outlineLvl w:val="0"/>
    </w:pPr>
    <w:rPr>
      <w:b/>
      <w:caps/>
      <w:lang w:val="fr-FR" w:eastAsia="fr-FR"/>
    </w:rPr>
  </w:style>
  <w:style w:type="paragraph" w:customStyle="1" w:styleId="ECHRTitleCentre1">
    <w:name w:val="ECHR_Title_Centre_1"/>
    <w:aliases w:val="Opi_H_Head"/>
    <w:basedOn w:val="Normal"/>
    <w:next w:val="OpiPara"/>
    <w:uiPriority w:val="99"/>
    <w:semiHidden/>
    <w:rsid w:val="0036750A"/>
    <w:pPr>
      <w:keepNext/>
      <w:keepLines/>
      <w:spacing w:after="240"/>
      <w:jc w:val="center"/>
      <w:outlineLvl w:val="0"/>
    </w:pPr>
    <w:rPr>
      <w:sz w:val="28"/>
      <w:lang w:val="fr-FR" w:eastAsia="fr-FR"/>
    </w:rPr>
  </w:style>
  <w:style w:type="paragraph" w:customStyle="1" w:styleId="JuCase">
    <w:name w:val="Ju_Case"/>
    <w:basedOn w:val="Normal"/>
    <w:next w:val="ECHRPara"/>
    <w:uiPriority w:val="99"/>
    <w:semiHidden/>
    <w:rsid w:val="0036750A"/>
    <w:pPr>
      <w:ind w:firstLine="284"/>
    </w:pPr>
    <w:rPr>
      <w:b/>
    </w:rPr>
  </w:style>
  <w:style w:type="paragraph" w:customStyle="1" w:styleId="JuQuotSub">
    <w:name w:val="Ju_Quot_Sub"/>
    <w:basedOn w:val="ECHRParaQuote"/>
    <w:uiPriority w:val="99"/>
    <w:rsid w:val="0036750A"/>
    <w:pPr>
      <w:ind w:left="567"/>
    </w:pPr>
  </w:style>
  <w:style w:type="paragraph" w:customStyle="1" w:styleId="ECHRTitle1">
    <w:name w:val="ECHR_Title_1"/>
    <w:aliases w:val="Ju_H_Head"/>
    <w:basedOn w:val="Normal"/>
    <w:next w:val="ECHRPara"/>
    <w:link w:val="JuHHeadChar"/>
    <w:uiPriority w:val="99"/>
    <w:rsid w:val="0036750A"/>
    <w:pPr>
      <w:keepNext/>
      <w:keepLines/>
      <w:spacing w:before="720" w:after="240"/>
      <w:outlineLvl w:val="0"/>
    </w:pPr>
    <w:rPr>
      <w:sz w:val="28"/>
      <w:lang w:val="fr-FR" w:eastAsia="fr-FR"/>
    </w:rPr>
  </w:style>
  <w:style w:type="paragraph" w:customStyle="1" w:styleId="JuInitialled">
    <w:name w:val="Ju_Initialled"/>
    <w:basedOn w:val="Normal"/>
    <w:uiPriority w:val="99"/>
    <w:rsid w:val="0036750A"/>
    <w:pPr>
      <w:tabs>
        <w:tab w:val="center" w:pos="6407"/>
      </w:tabs>
      <w:spacing w:before="720"/>
      <w:jc w:val="right"/>
    </w:pPr>
    <w:rPr>
      <w:lang w:val="fr-FR" w:eastAsia="fr-FR"/>
    </w:rPr>
  </w:style>
  <w:style w:type="paragraph" w:customStyle="1" w:styleId="DecHTitle">
    <w:name w:val="Dec_H_Title"/>
    <w:basedOn w:val="ECHRTitleCentre1"/>
    <w:uiPriority w:val="99"/>
    <w:rsid w:val="0036750A"/>
  </w:style>
  <w:style w:type="paragraph" w:customStyle="1" w:styleId="ECHRTitleCentre2">
    <w:name w:val="ECHR_Title_Centre_2"/>
    <w:aliases w:val="Dec_H_Case"/>
    <w:basedOn w:val="Normal"/>
    <w:next w:val="ECHRPara"/>
    <w:uiPriority w:val="99"/>
    <w:rsid w:val="0036750A"/>
    <w:pPr>
      <w:spacing w:after="240"/>
      <w:jc w:val="center"/>
      <w:outlineLvl w:val="0"/>
    </w:pPr>
    <w:rPr>
      <w:lang w:val="fr-FR" w:eastAsia="fr-FR"/>
    </w:rPr>
  </w:style>
  <w:style w:type="paragraph" w:customStyle="1" w:styleId="OpiHA">
    <w:name w:val="Opi_H_A"/>
    <w:basedOn w:val="ECHRHeading1"/>
    <w:next w:val="OpiPara"/>
    <w:uiPriority w:val="99"/>
    <w:semiHidden/>
    <w:rsid w:val="0036750A"/>
    <w:pPr>
      <w:tabs>
        <w:tab w:val="clear" w:pos="357"/>
      </w:tabs>
      <w:outlineLvl w:val="1"/>
    </w:pPr>
    <w:rPr>
      <w:b/>
    </w:rPr>
  </w:style>
  <w:style w:type="character" w:customStyle="1" w:styleId="JUNAMES">
    <w:name w:val="JU_NAMES"/>
    <w:uiPriority w:val="99"/>
    <w:rsid w:val="0036750A"/>
    <w:rPr>
      <w:smallCaps/>
    </w:rPr>
  </w:style>
  <w:style w:type="paragraph" w:customStyle="1" w:styleId="OpiTranslation">
    <w:name w:val="Opi_Translation"/>
    <w:basedOn w:val="Normal"/>
    <w:next w:val="OpiPara"/>
    <w:uiPriority w:val="99"/>
    <w:semiHidden/>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eastAsia="MS Gothic"/>
      <w:b/>
      <w:bCs/>
      <w:color w:val="474747"/>
      <w:szCs w:val="24"/>
    </w:rPr>
  </w:style>
  <w:style w:type="paragraph" w:customStyle="1" w:styleId="JuCourt">
    <w:name w:val="Ju_Court"/>
    <w:basedOn w:val="Normal"/>
    <w:next w:val="Normal"/>
    <w:uiPriority w:val="99"/>
    <w:rsid w:val="0036750A"/>
    <w:pPr>
      <w:tabs>
        <w:tab w:val="left" w:pos="907"/>
        <w:tab w:val="left" w:pos="1701"/>
        <w:tab w:val="right" w:pos="7371"/>
      </w:tabs>
      <w:spacing w:before="240"/>
      <w:ind w:left="397" w:hanging="397"/>
      <w:jc w:val="left"/>
    </w:pPr>
    <w:rPr>
      <w:lang w:val="fr-FR" w:eastAsia="fr-FR"/>
    </w:rPr>
  </w:style>
  <w:style w:type="paragraph" w:customStyle="1" w:styleId="ECHRHeading1">
    <w:name w:val="ECHR_Heading_1"/>
    <w:aliases w:val="Ju_H_I_Roman"/>
    <w:basedOn w:val="Heading1"/>
    <w:next w:val="ECHRPara"/>
    <w:uiPriority w:val="99"/>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link w:val="JuHAChar"/>
    <w:uiPriority w:val="99"/>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customStyle="1" w:styleId="BalloonTextChar1">
    <w:name w:val="Balloon Text Char1"/>
    <w:basedOn w:val="DefaultParagraphFont"/>
    <w:link w:val="BalloonText"/>
    <w:uiPriority w:val="99"/>
    <w:semiHidden/>
    <w:rsid w:val="00EB06D3"/>
    <w:rPr>
      <w:rFonts w:eastAsia="MS Mincho"/>
      <w:sz w:val="0"/>
      <w:szCs w:val="0"/>
      <w:lang w:val="en-US" w:eastAsia="en-US"/>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link w:val="EndnoteTextChar"/>
    <w:uiPriority w:val="99"/>
    <w:semiHidden/>
    <w:rsid w:val="000903DC"/>
    <w:rPr>
      <w:sz w:val="20"/>
    </w:rPr>
  </w:style>
  <w:style w:type="character" w:customStyle="1" w:styleId="EndnoteTextChar">
    <w:name w:val="Endnote Text Char"/>
    <w:basedOn w:val="DefaultParagraphFont"/>
    <w:link w:val="EndnoteText"/>
    <w:uiPriority w:val="99"/>
    <w:semiHidden/>
    <w:rsid w:val="00EB06D3"/>
    <w:rPr>
      <w:rFonts w:eastAsia="MS Mincho"/>
      <w:sz w:val="20"/>
      <w:szCs w:val="20"/>
      <w:lang w:val="en-US" w:eastAsia="en-US"/>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rFonts w:cs="Times New Roman"/>
      <w:color w:val="0072BC"/>
      <w:u w:val="single"/>
    </w:rPr>
  </w:style>
  <w:style w:type="paragraph" w:customStyle="1" w:styleId="ECHRHeading5">
    <w:name w:val="ECHR_Heading_5"/>
    <w:aliases w:val="Ju_H_i"/>
    <w:basedOn w:val="Heading5"/>
    <w:next w:val="ECHRPara"/>
    <w:uiPriority w:val="99"/>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1"/>
      </w:numPr>
    </w:pPr>
  </w:style>
  <w:style w:type="paragraph" w:customStyle="1" w:styleId="ECHRHeading7">
    <w:name w:val="ECHR_Heading_7"/>
    <w:aliases w:val="Ju_H_–"/>
    <w:basedOn w:val="Heading7"/>
    <w:next w:val="ECHRPara"/>
    <w:uiPriority w:val="99"/>
    <w:rsid w:val="0036750A"/>
    <w:pPr>
      <w:keepNext/>
      <w:keepLines/>
      <w:spacing w:before="240" w:after="120"/>
      <w:ind w:left="1236"/>
    </w:pPr>
    <w:rPr>
      <w:sz w:val="20"/>
    </w:rPr>
  </w:style>
  <w:style w:type="character" w:customStyle="1" w:styleId="JuITMark">
    <w:name w:val="Ju_ITMark"/>
    <w:basedOn w:val="DefaultParagraphFont"/>
    <w:uiPriority w:val="99"/>
    <w:rsid w:val="0036750A"/>
    <w:rPr>
      <w:rFonts w:cs="Times New Roman"/>
      <w:vanish/>
      <w:color w:val="339966"/>
      <w:sz w:val="14"/>
    </w:rPr>
  </w:style>
  <w:style w:type="paragraph" w:customStyle="1" w:styleId="JuParaLast">
    <w:name w:val="Ju_Para_Last"/>
    <w:basedOn w:val="Normal"/>
    <w:next w:val="ECHRPara"/>
    <w:link w:val="JuParaLastChar"/>
    <w:uiPriority w:val="99"/>
    <w:rsid w:val="0036750A"/>
    <w:pPr>
      <w:keepNext/>
      <w:keepLines/>
      <w:spacing w:before="240"/>
      <w:ind w:firstLine="284"/>
    </w:pPr>
    <w:rPr>
      <w:lang w:val="fr-FR" w:eastAsia="fr-FR"/>
    </w:rPr>
  </w:style>
  <w:style w:type="paragraph" w:customStyle="1" w:styleId="DecList">
    <w:name w:val="Dec_List"/>
    <w:basedOn w:val="Normal"/>
    <w:link w:val="DecListChar"/>
    <w:uiPriority w:val="99"/>
    <w:rsid w:val="0036750A"/>
    <w:pPr>
      <w:spacing w:before="240"/>
      <w:ind w:left="284"/>
    </w:pPr>
    <w:rPr>
      <w:lang w:val="fr-FR" w:eastAsia="fr-FR"/>
    </w:rPr>
  </w:style>
  <w:style w:type="paragraph" w:customStyle="1" w:styleId="ECHRDecisionBody">
    <w:name w:val="ECHR_Decision_Body"/>
    <w:aliases w:val="Ju_Judges"/>
    <w:basedOn w:val="Normal"/>
    <w:uiPriority w:val="99"/>
    <w:rsid w:val="0036750A"/>
    <w:pPr>
      <w:tabs>
        <w:tab w:val="left" w:pos="567"/>
        <w:tab w:val="left" w:pos="1134"/>
      </w:tabs>
      <w:jc w:val="left"/>
    </w:pPr>
    <w:rPr>
      <w:lang w:val="fr-FR" w:eastAsia="fr-FR"/>
    </w:rPr>
  </w:style>
  <w:style w:type="paragraph" w:customStyle="1" w:styleId="JuList">
    <w:name w:val="Ju_List"/>
    <w:basedOn w:val="Normal"/>
    <w:uiPriority w:val="99"/>
    <w:rsid w:val="0036750A"/>
    <w:pPr>
      <w:ind w:left="340" w:hanging="340"/>
    </w:pPr>
    <w:rPr>
      <w:lang w:val="fr-FR" w:eastAsia="fr-FR"/>
    </w:rPr>
  </w:style>
  <w:style w:type="paragraph" w:customStyle="1" w:styleId="JuLista">
    <w:name w:val="Ju_List_a"/>
    <w:basedOn w:val="JuList"/>
    <w:uiPriority w:val="99"/>
    <w:rsid w:val="0036750A"/>
    <w:pPr>
      <w:ind w:left="346" w:firstLine="0"/>
    </w:pPr>
  </w:style>
  <w:style w:type="character" w:styleId="PlaceholderText">
    <w:name w:val="Placeholder Text"/>
    <w:basedOn w:val="DefaultParagraphFont"/>
    <w:uiPriority w:val="99"/>
    <w:semiHidden/>
    <w:rsid w:val="00F24036"/>
    <w:rPr>
      <w:rFonts w:cs="Times New Roman"/>
      <w:color w:val="808080"/>
    </w:rPr>
  </w:style>
  <w:style w:type="paragraph" w:customStyle="1" w:styleId="JuListi">
    <w:name w:val="Ju_List_i"/>
    <w:basedOn w:val="Normal"/>
    <w:next w:val="JuLista"/>
    <w:uiPriority w:val="99"/>
    <w:rsid w:val="0036750A"/>
    <w:pPr>
      <w:ind w:left="794"/>
    </w:pPr>
    <w:rPr>
      <w:lang w:val="fr-FR" w:eastAsia="fr-FR"/>
    </w:rPr>
  </w:style>
  <w:style w:type="paragraph" w:customStyle="1" w:styleId="OpiH1">
    <w:name w:val="Opi_H_1"/>
    <w:basedOn w:val="ECHRHeading2"/>
    <w:uiPriority w:val="99"/>
    <w:semiHidden/>
    <w:rsid w:val="0036750A"/>
    <w:pPr>
      <w:ind w:left="635" w:hanging="357"/>
      <w:outlineLvl w:val="2"/>
    </w:pPr>
  </w:style>
  <w:style w:type="paragraph" w:styleId="Title">
    <w:name w:val="Title"/>
    <w:basedOn w:val="Normal"/>
    <w:next w:val="Normal"/>
    <w:link w:val="TitleChar"/>
    <w:uiPriority w:val="99"/>
    <w:qFormat/>
    <w:rsid w:val="0036750A"/>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locked/>
    <w:rsid w:val="0036750A"/>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36750A"/>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locked/>
    <w:rsid w:val="0036750A"/>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36750A"/>
    <w:rPr>
      <w:rFonts w:cs="Times New Roman"/>
      <w:b/>
    </w:rPr>
  </w:style>
  <w:style w:type="character" w:styleId="Emphasis">
    <w:name w:val="Emphasis"/>
    <w:basedOn w:val="DefaultParagraphFont"/>
    <w:uiPriority w:val="99"/>
    <w:qFormat/>
    <w:rsid w:val="0036750A"/>
    <w:rPr>
      <w:rFonts w:cs="Times New Roman"/>
      <w:b/>
      <w:i/>
      <w:spacing w:val="10"/>
      <w:shd w:val="clear" w:color="auto" w:fill="auto"/>
    </w:rPr>
  </w:style>
  <w:style w:type="paragraph" w:styleId="NoSpacing">
    <w:name w:val="No Spacing"/>
    <w:basedOn w:val="Normal"/>
    <w:link w:val="NoSpacingChar"/>
    <w:uiPriority w:val="99"/>
    <w:qFormat/>
    <w:rsid w:val="0036750A"/>
    <w:rPr>
      <w:sz w:val="22"/>
      <w:lang w:val="fr-FR" w:eastAsia="fr-FR"/>
    </w:rPr>
  </w:style>
  <w:style w:type="character" w:customStyle="1" w:styleId="NoSpacingChar">
    <w:name w:val="No Spacing Char"/>
    <w:basedOn w:val="DefaultParagraphFont"/>
    <w:link w:val="NoSpacing"/>
    <w:uiPriority w:val="99"/>
    <w:locked/>
    <w:rsid w:val="0036750A"/>
    <w:rPr>
      <w:rFonts w:eastAsia="MS Mincho" w:cs="Times New Roman"/>
    </w:rPr>
  </w:style>
  <w:style w:type="paragraph" w:styleId="ListParagraph">
    <w:name w:val="List Paragraph"/>
    <w:basedOn w:val="Normal"/>
    <w:uiPriority w:val="99"/>
    <w:qFormat/>
    <w:rsid w:val="0036750A"/>
    <w:pPr>
      <w:ind w:left="720"/>
      <w:contextualSpacing/>
    </w:pPr>
    <w:rPr>
      <w:lang w:val="fr-FR" w:eastAsia="fr-FR"/>
    </w:rPr>
  </w:style>
  <w:style w:type="paragraph" w:styleId="Quote">
    <w:name w:val="Quote"/>
    <w:basedOn w:val="Normal"/>
    <w:next w:val="Normal"/>
    <w:link w:val="QuoteChar"/>
    <w:uiPriority w:val="99"/>
    <w:qFormat/>
    <w:rsid w:val="0036750A"/>
    <w:pPr>
      <w:spacing w:before="200"/>
      <w:ind w:left="360" w:right="360"/>
    </w:pPr>
    <w:rPr>
      <w:i/>
      <w:iCs/>
      <w:sz w:val="22"/>
      <w:lang w:val="fr-FR" w:eastAsia="fr-FR"/>
    </w:rPr>
  </w:style>
  <w:style w:type="character" w:customStyle="1" w:styleId="QuoteChar">
    <w:name w:val="Quote Char"/>
    <w:basedOn w:val="DefaultParagraphFont"/>
    <w:link w:val="Quote"/>
    <w:uiPriority w:val="99"/>
    <w:locked/>
    <w:rsid w:val="0036750A"/>
    <w:rPr>
      <w:rFonts w:eastAsia="MS Mincho" w:cs="Times New Roman"/>
      <w:i/>
      <w:iCs/>
    </w:rPr>
  </w:style>
  <w:style w:type="paragraph" w:styleId="IntenseQuote">
    <w:name w:val="Intense Quote"/>
    <w:basedOn w:val="Normal"/>
    <w:next w:val="Normal"/>
    <w:link w:val="IntenseQuoteChar"/>
    <w:uiPriority w:val="99"/>
    <w:qFormat/>
    <w:rsid w:val="0036750A"/>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locked/>
    <w:rsid w:val="0036750A"/>
    <w:rPr>
      <w:rFonts w:eastAsia="MS Mincho" w:cs="Times New Roman"/>
      <w:b/>
      <w:bCs/>
      <w:i/>
      <w:iCs/>
    </w:rPr>
  </w:style>
  <w:style w:type="character" w:styleId="SubtleEmphasis">
    <w:name w:val="Subtle Emphasis"/>
    <w:basedOn w:val="DefaultParagraphFont"/>
    <w:uiPriority w:val="99"/>
    <w:qFormat/>
    <w:rsid w:val="0036750A"/>
    <w:rPr>
      <w:i/>
    </w:rPr>
  </w:style>
  <w:style w:type="character" w:styleId="IntenseEmphasis">
    <w:name w:val="Intense Emphasis"/>
    <w:basedOn w:val="DefaultParagraphFont"/>
    <w:uiPriority w:val="99"/>
    <w:qFormat/>
    <w:rsid w:val="0036750A"/>
    <w:rPr>
      <w:b/>
    </w:rPr>
  </w:style>
  <w:style w:type="character" w:styleId="SubtleReference">
    <w:name w:val="Subtle Reference"/>
    <w:basedOn w:val="DefaultParagraphFont"/>
    <w:uiPriority w:val="99"/>
    <w:qFormat/>
    <w:rsid w:val="0036750A"/>
    <w:rPr>
      <w:smallCaps/>
    </w:rPr>
  </w:style>
  <w:style w:type="character" w:styleId="IntenseReference">
    <w:name w:val="Intense Reference"/>
    <w:basedOn w:val="DefaultParagraphFont"/>
    <w:uiPriority w:val="99"/>
    <w:qFormat/>
    <w:rsid w:val="0036750A"/>
    <w:rPr>
      <w:smallCaps/>
      <w:spacing w:val="5"/>
      <w:u w:val="single"/>
    </w:rPr>
  </w:style>
  <w:style w:type="character" w:styleId="BookTitle">
    <w:name w:val="Book Title"/>
    <w:basedOn w:val="DefaultParagraphFont"/>
    <w:uiPriority w:val="99"/>
    <w:qFormat/>
    <w:rsid w:val="0036750A"/>
    <w:rPr>
      <w:i/>
      <w:smallCaps/>
      <w:spacing w:val="5"/>
    </w:rPr>
  </w:style>
  <w:style w:type="paragraph" w:styleId="TOCHeading">
    <w:name w:val="TOC Heading"/>
    <w:basedOn w:val="Heading1"/>
    <w:next w:val="Normal"/>
    <w:uiPriority w:val="99"/>
    <w:qFormat/>
    <w:rsid w:val="0036750A"/>
    <w:pPr>
      <w:outlineLvl w:val="9"/>
    </w:pPr>
    <w:rPr>
      <w:color w:val="474747"/>
      <w:lang w:val="fr-FR" w:eastAsia="fr-FR"/>
    </w:rPr>
  </w:style>
  <w:style w:type="paragraph" w:customStyle="1" w:styleId="OpiHa0">
    <w:name w:val="Opi_H_a"/>
    <w:basedOn w:val="ECHRHeading3"/>
    <w:uiPriority w:val="99"/>
    <w:semiHidden/>
    <w:rsid w:val="0036750A"/>
    <w:pPr>
      <w:ind w:left="833" w:hanging="357"/>
      <w:outlineLvl w:val="3"/>
    </w:pPr>
    <w:rPr>
      <w:b/>
      <w:i w:val="0"/>
      <w:sz w:val="20"/>
    </w:rPr>
  </w:style>
  <w:style w:type="paragraph" w:customStyle="1" w:styleId="OpiHi">
    <w:name w:val="Opi_H_i"/>
    <w:basedOn w:val="ECHRHeading4"/>
    <w:uiPriority w:val="99"/>
    <w:semiHidden/>
    <w:rsid w:val="0036750A"/>
    <w:pPr>
      <w:ind w:left="1037" w:hanging="357"/>
      <w:outlineLvl w:val="4"/>
    </w:pPr>
    <w:rPr>
      <w:b w:val="0"/>
      <w:i/>
    </w:rPr>
  </w:style>
  <w:style w:type="paragraph" w:styleId="Bibliography">
    <w:name w:val="Bibliography"/>
    <w:basedOn w:val="Normal"/>
    <w:next w:val="Normal"/>
    <w:uiPriority w:val="99"/>
    <w:semiHidden/>
    <w:rsid w:val="0036750A"/>
  </w:style>
  <w:style w:type="paragraph" w:styleId="BlockText">
    <w:name w:val="Block Text"/>
    <w:basedOn w:val="Normal"/>
    <w:uiPriority w:val="99"/>
    <w:semiHidden/>
    <w:rsid w:val="0036750A"/>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uiPriority w:val="99"/>
    <w:locked/>
    <w:rsid w:val="0036750A"/>
    <w:rPr>
      <w:rFonts w:eastAsia="MS Mincho" w:cs="Times New Roman"/>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uiPriority w:val="99"/>
    <w:locked/>
    <w:rsid w:val="0036750A"/>
    <w:rPr>
      <w:rFonts w:eastAsia="MS Mincho" w:cs="Times New Roman"/>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uiPriority w:val="99"/>
    <w:locked/>
    <w:rsid w:val="0036750A"/>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uiPriority w:val="99"/>
    <w:locked/>
    <w:rsid w:val="0036750A"/>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uiPriority w:val="99"/>
    <w:locked/>
    <w:rsid w:val="0036750A"/>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uiPriority w:val="99"/>
    <w:locked/>
    <w:rsid w:val="0036750A"/>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uiPriority w:val="99"/>
    <w:locked/>
    <w:rsid w:val="0036750A"/>
    <w:rPr>
      <w:rFonts w:eastAsia="MS Mincho" w:cs="Times New Roman"/>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750A"/>
    <w:rPr>
      <w:rFonts w:eastAsia="MS Mincho" w:cs="Times New Roman"/>
      <w:sz w:val="16"/>
      <w:szCs w:val="16"/>
      <w:lang w:val="en-US" w:eastAsia="en-US"/>
    </w:rPr>
  </w:style>
  <w:style w:type="paragraph" w:styleId="Caption">
    <w:name w:val="caption"/>
    <w:basedOn w:val="Normal"/>
    <w:next w:val="Normal"/>
    <w:uiPriority w:val="99"/>
    <w:qFormat/>
    <w:rsid w:val="0036750A"/>
    <w:pPr>
      <w:spacing w:after="200"/>
    </w:pPr>
    <w:rPr>
      <w:b/>
      <w:bCs/>
      <w:color w:val="0072BC"/>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uiPriority w:val="99"/>
    <w:locked/>
    <w:rsid w:val="0036750A"/>
    <w:rPr>
      <w:rFonts w:eastAsia="MS Mincho" w:cs="Times New Roman"/>
      <w:sz w:val="24"/>
      <w:lang w:val="en-US" w:eastAsia="en-US"/>
    </w:rPr>
  </w:style>
  <w:style w:type="table" w:styleId="ColorfulGrid">
    <w:name w:val="Colorful Grid"/>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36750A"/>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36750A"/>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SubjectChar">
    <w:name w:val="Comment Subject Char"/>
    <w:basedOn w:val="CommentTextChar"/>
    <w:link w:val="CommentSubject"/>
    <w:uiPriority w:val="99"/>
    <w:locked/>
    <w:rsid w:val="0036750A"/>
    <w:rPr>
      <w:b/>
      <w:bCs/>
      <w:szCs w:val="20"/>
    </w:rPr>
  </w:style>
  <w:style w:type="table" w:styleId="DarkList">
    <w:name w:val="Dark List"/>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uiPriority w:val="99"/>
    <w:locked/>
    <w:rsid w:val="0036750A"/>
    <w:rPr>
      <w:rFonts w:eastAsia="MS Mincho" w:cs="Times New Roman"/>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uiPriority w:val="99"/>
    <w:locked/>
    <w:rsid w:val="0036750A"/>
    <w:rPr>
      <w:rFonts w:eastAsia="MS Mincho" w:cs="Times New Roman"/>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36750A"/>
    <w:rPr>
      <w:rFonts w:eastAsia="MS Gothic"/>
      <w:sz w:val="20"/>
      <w:szCs w:val="20"/>
    </w:rPr>
  </w:style>
  <w:style w:type="character" w:styleId="HTMLAcronym">
    <w:name w:val="HTML Acronym"/>
    <w:basedOn w:val="DefaultParagraphFont"/>
    <w:uiPriority w:val="99"/>
    <w:semiHidden/>
    <w:rsid w:val="0036750A"/>
    <w:rPr>
      <w:rFonts w:cs="Times New Roman"/>
    </w:rPr>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uiPriority w:val="99"/>
    <w:locked/>
    <w:rsid w:val="0036750A"/>
    <w:rPr>
      <w:rFonts w:eastAsia="MS Mincho" w:cs="Times New Roman"/>
      <w:i/>
      <w:iCs/>
      <w:sz w:val="24"/>
      <w:lang w:val="en-US" w:eastAsia="en-US"/>
    </w:rPr>
  </w:style>
  <w:style w:type="character" w:styleId="HTMLCite">
    <w:name w:val="HTML Cite"/>
    <w:basedOn w:val="DefaultParagraphFont"/>
    <w:uiPriority w:val="99"/>
    <w:semiHidden/>
    <w:rsid w:val="0036750A"/>
    <w:rPr>
      <w:rFonts w:cs="Times New Roman"/>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rFonts w:cs="Times New Roman"/>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36750A"/>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rFonts w:cs="Times New Roman"/>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eastAsia="MS Gothic"/>
      <w:b/>
      <w:bCs/>
    </w:rPr>
  </w:style>
  <w:style w:type="table" w:styleId="LightGrid">
    <w:name w:val="Light Grid"/>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36750A"/>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36750A"/>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36750A"/>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36750A"/>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6750A"/>
    <w:rPr>
      <w:rFonts w:cs="Times New Roman"/>
    </w:rPr>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16"/>
      </w:numPr>
      <w:tabs>
        <w:tab w:val="clear" w:pos="360"/>
        <w:tab w:val="num" w:pos="643"/>
      </w:tabs>
      <w:ind w:left="643"/>
      <w:contextualSpacing/>
    </w:pPr>
  </w:style>
  <w:style w:type="paragraph" w:styleId="ListBullet3">
    <w:name w:val="List Bullet 3"/>
    <w:basedOn w:val="Normal"/>
    <w:uiPriority w:val="99"/>
    <w:semiHidden/>
    <w:rsid w:val="0036750A"/>
    <w:pPr>
      <w:numPr>
        <w:numId w:val="17"/>
      </w:numPr>
      <w:tabs>
        <w:tab w:val="clear" w:pos="643"/>
        <w:tab w:val="num" w:pos="926"/>
      </w:tabs>
      <w:ind w:left="926"/>
      <w:contextualSpacing/>
    </w:pPr>
  </w:style>
  <w:style w:type="paragraph" w:styleId="ListBullet4">
    <w:name w:val="List Bullet 4"/>
    <w:basedOn w:val="Normal"/>
    <w:uiPriority w:val="99"/>
    <w:semiHidden/>
    <w:rsid w:val="0036750A"/>
    <w:pPr>
      <w:numPr>
        <w:numId w:val="18"/>
      </w:numPr>
      <w:tabs>
        <w:tab w:val="clear" w:pos="926"/>
        <w:tab w:val="num" w:pos="1209"/>
      </w:tabs>
      <w:ind w:left="1209"/>
      <w:contextualSpacing/>
    </w:pPr>
  </w:style>
  <w:style w:type="paragraph" w:styleId="ListBullet5">
    <w:name w:val="List Bullet 5"/>
    <w:basedOn w:val="Normal"/>
    <w:uiPriority w:val="99"/>
    <w:semiHidden/>
    <w:rsid w:val="0036750A"/>
    <w:pPr>
      <w:numPr>
        <w:numId w:val="19"/>
      </w:numPr>
      <w:tabs>
        <w:tab w:val="clear" w:pos="1209"/>
        <w:tab w:val="num" w:pos="1492"/>
      </w:tabs>
      <w:ind w:left="1492"/>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20"/>
      </w:numPr>
      <w:tabs>
        <w:tab w:val="clear" w:pos="1492"/>
        <w:tab w:val="num" w:pos="360"/>
      </w:tabs>
      <w:ind w:left="360"/>
      <w:contextualSpacing/>
    </w:pPr>
  </w:style>
  <w:style w:type="paragraph" w:styleId="ListNumber2">
    <w:name w:val="List Number 2"/>
    <w:basedOn w:val="Normal"/>
    <w:uiPriority w:val="99"/>
    <w:semiHidden/>
    <w:rsid w:val="0036750A"/>
    <w:pPr>
      <w:numPr>
        <w:numId w:val="21"/>
      </w:numPr>
      <w:tabs>
        <w:tab w:val="clear" w:pos="360"/>
        <w:tab w:val="num" w:pos="643"/>
      </w:tabs>
      <w:ind w:left="643"/>
      <w:contextualSpacing/>
    </w:pPr>
  </w:style>
  <w:style w:type="paragraph" w:styleId="ListNumber3">
    <w:name w:val="List Number 3"/>
    <w:basedOn w:val="Normal"/>
    <w:uiPriority w:val="99"/>
    <w:semiHidden/>
    <w:rsid w:val="0036750A"/>
    <w:pPr>
      <w:numPr>
        <w:numId w:val="22"/>
      </w:numPr>
      <w:tabs>
        <w:tab w:val="clear" w:pos="720"/>
        <w:tab w:val="num" w:pos="926"/>
      </w:tabs>
      <w:ind w:left="926"/>
      <w:contextualSpacing/>
    </w:pPr>
  </w:style>
  <w:style w:type="paragraph" w:styleId="ListNumber4">
    <w:name w:val="List Number 4"/>
    <w:basedOn w:val="Normal"/>
    <w:uiPriority w:val="99"/>
    <w:semiHidden/>
    <w:rsid w:val="0036750A"/>
    <w:pPr>
      <w:numPr>
        <w:numId w:val="23"/>
      </w:numPr>
      <w:tabs>
        <w:tab w:val="num" w:pos="1209"/>
      </w:tabs>
      <w:ind w:left="1209"/>
      <w:contextualSpacing/>
    </w:pPr>
  </w:style>
  <w:style w:type="paragraph" w:styleId="ListNumber5">
    <w:name w:val="List Number 5"/>
    <w:basedOn w:val="Normal"/>
    <w:uiPriority w:val="99"/>
    <w:semiHidden/>
    <w:rsid w:val="0036750A"/>
    <w:pPr>
      <w:numPr>
        <w:numId w:val="24"/>
      </w:numPr>
      <w:tabs>
        <w:tab w:val="num" w:pos="1492"/>
      </w:tabs>
      <w:ind w:left="1492"/>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36750A"/>
    <w:rPr>
      <w:rFonts w:ascii="Consolas" w:eastAsia="MS Mincho" w:hAnsi="Consolas" w:cs="Consolas"/>
      <w:lang w:val="en-US" w:eastAsia="en-US" w:bidi="ar-SA"/>
    </w:rPr>
  </w:style>
  <w:style w:type="table" w:styleId="MediumGrid1">
    <w:name w:val="Medium Grid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36750A"/>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36750A"/>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36750A"/>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36750A"/>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36750A"/>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36750A"/>
    <w:rPr>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uiPriority w:val="99"/>
    <w:locked/>
    <w:rsid w:val="0036750A"/>
    <w:rPr>
      <w:rFonts w:eastAsia="MS Mincho" w:cs="Times New Roman"/>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uiPriority w:val="99"/>
    <w:locked/>
    <w:rsid w:val="0036750A"/>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uiPriority w:val="99"/>
    <w:locked/>
    <w:rsid w:val="0036750A"/>
    <w:rPr>
      <w:rFonts w:eastAsia="MS Mincho" w:cs="Times New Roman"/>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uiPriority w:val="99"/>
    <w:locked/>
    <w:rsid w:val="0036750A"/>
    <w:rPr>
      <w:rFonts w:eastAsia="MS Mincho" w:cs="Times New Roman"/>
      <w:sz w:val="24"/>
      <w:lang w:val="en-US" w:eastAsia="en-US"/>
    </w:rPr>
  </w:style>
  <w:style w:type="table" w:styleId="Table3Deffects1">
    <w:name w:val="Table 3D effects 1"/>
    <w:basedOn w:val="TableNormal"/>
    <w:uiPriority w:val="99"/>
    <w:semiHidden/>
    <w:rsid w:val="0036750A"/>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6750A"/>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6750A"/>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
    <w:name w:val="Ju_Para Char"/>
    <w:basedOn w:val="DefaultParagraphFont"/>
    <w:link w:val="ECHRPara"/>
    <w:uiPriority w:val="99"/>
    <w:locked/>
    <w:rsid w:val="008106D8"/>
    <w:rPr>
      <w:rFonts w:eastAsia="MS Mincho" w:cs="Times New Roman"/>
      <w:sz w:val="24"/>
    </w:rPr>
  </w:style>
  <w:style w:type="character" w:customStyle="1" w:styleId="JuHHeadChar">
    <w:name w:val="Ju_H_Head Char"/>
    <w:basedOn w:val="DefaultParagraphFont"/>
    <w:link w:val="ECHRTitle1"/>
    <w:uiPriority w:val="99"/>
    <w:locked/>
    <w:rsid w:val="008106D8"/>
    <w:rPr>
      <w:rFonts w:ascii="Times New Roman" w:eastAsia="MS Mincho" w:hAnsi="Times New Roman" w:cs="Times New Roman"/>
      <w:sz w:val="28"/>
    </w:rPr>
  </w:style>
  <w:style w:type="character" w:customStyle="1" w:styleId="JuParaLastChar">
    <w:name w:val="Ju_Para_Last Char"/>
    <w:basedOn w:val="DefaultParagraphFont"/>
    <w:link w:val="JuParaLast"/>
    <w:uiPriority w:val="99"/>
    <w:locked/>
    <w:rsid w:val="008106D8"/>
    <w:rPr>
      <w:rFonts w:eastAsia="MS Mincho" w:cs="Times New Roman"/>
      <w:sz w:val="24"/>
    </w:rPr>
  </w:style>
  <w:style w:type="character" w:customStyle="1" w:styleId="JuHAChar">
    <w:name w:val="Ju_H_A Char"/>
    <w:basedOn w:val="DefaultParagraphFont"/>
    <w:link w:val="ECHRHeading2"/>
    <w:uiPriority w:val="99"/>
    <w:locked/>
    <w:rsid w:val="008106D8"/>
    <w:rPr>
      <w:rFonts w:ascii="Times New Roman" w:eastAsia="MS Gothic" w:hAnsi="Times New Roman" w:cs="Times New Roman"/>
      <w:b/>
      <w:bCs/>
      <w:sz w:val="26"/>
      <w:szCs w:val="26"/>
    </w:rPr>
  </w:style>
  <w:style w:type="character" w:customStyle="1" w:styleId="DecListChar">
    <w:name w:val="Dec_List Char"/>
    <w:basedOn w:val="DefaultParagraphFont"/>
    <w:link w:val="DecList"/>
    <w:uiPriority w:val="99"/>
    <w:locked/>
    <w:rsid w:val="008106D8"/>
    <w:rPr>
      <w:rFonts w:eastAsia="MS Mincho" w:cs="Times New Roman"/>
      <w:sz w:val="24"/>
    </w:rPr>
  </w:style>
  <w:style w:type="character" w:customStyle="1" w:styleId="sb8d990e2">
    <w:name w:val="sb8d990e2"/>
    <w:basedOn w:val="DefaultParagraphFont"/>
    <w:uiPriority w:val="99"/>
    <w:rsid w:val="008106D8"/>
    <w:rPr>
      <w:rFonts w:cs="Times New Roman"/>
    </w:rPr>
  </w:style>
  <w:style w:type="table" w:customStyle="1" w:styleId="ECHRListTable">
    <w:name w:val="ECHR_List_Table"/>
    <w:uiPriority w:val="99"/>
    <w:rsid w:val="008106D8"/>
    <w:rPr>
      <w:sz w:val="20"/>
      <w:szCs w:val="20"/>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styleId="111111">
    <w:name w:val="Outline List 2"/>
    <w:basedOn w:val="NoList"/>
    <w:uiPriority w:val="99"/>
    <w:semiHidden/>
    <w:unhideWhenUsed/>
    <w:rsid w:val="00EB06D3"/>
    <w:pPr>
      <w:numPr>
        <w:numId w:val="23"/>
      </w:numPr>
    </w:pPr>
  </w:style>
  <w:style w:type="numbering" w:styleId="ArticleSection">
    <w:name w:val="Outline List 3"/>
    <w:basedOn w:val="NoList"/>
    <w:uiPriority w:val="99"/>
    <w:semiHidden/>
    <w:unhideWhenUsed/>
    <w:rsid w:val="00EB06D3"/>
    <w:pPr>
      <w:numPr>
        <w:numId w:val="25"/>
      </w:numPr>
    </w:pPr>
  </w:style>
  <w:style w:type="numbering" w:styleId="1ai">
    <w:name w:val="Outline List 1"/>
    <w:basedOn w:val="NoList"/>
    <w:uiPriority w:val="99"/>
    <w:semiHidden/>
    <w:unhideWhenUsed/>
    <w:rsid w:val="00EB06D3"/>
    <w:pPr>
      <w:numPr>
        <w:numId w:val="24"/>
      </w:numPr>
    </w:pPr>
  </w:style>
</w:styles>
</file>

<file path=word/webSettings.xml><?xml version="1.0" encoding="utf-8"?>
<w:webSettings xmlns:r="http://schemas.openxmlformats.org/officeDocument/2006/relationships" xmlns:w="http://schemas.openxmlformats.org/wordprocessingml/2006/main">
  <w:divs>
    <w:div w:id="519658643">
      <w:marLeft w:val="0"/>
      <w:marRight w:val="0"/>
      <w:marTop w:val="0"/>
      <w:marBottom w:val="0"/>
      <w:divBdr>
        <w:top w:val="none" w:sz="0" w:space="0" w:color="auto"/>
        <w:left w:val="none" w:sz="0" w:space="0" w:color="auto"/>
        <w:bottom w:val="none" w:sz="0" w:space="0" w:color="auto"/>
        <w:right w:val="none" w:sz="0" w:space="0" w:color="auto"/>
      </w:divBdr>
    </w:div>
    <w:div w:id="519658644">
      <w:marLeft w:val="0"/>
      <w:marRight w:val="0"/>
      <w:marTop w:val="0"/>
      <w:marBottom w:val="0"/>
      <w:divBdr>
        <w:top w:val="none" w:sz="0" w:space="0" w:color="auto"/>
        <w:left w:val="none" w:sz="0" w:space="0" w:color="auto"/>
        <w:bottom w:val="none" w:sz="0" w:space="0" w:color="auto"/>
        <w:right w:val="none" w:sz="0" w:space="0" w:color="auto"/>
      </w:divBdr>
    </w:div>
    <w:div w:id="519658645">
      <w:marLeft w:val="0"/>
      <w:marRight w:val="0"/>
      <w:marTop w:val="0"/>
      <w:marBottom w:val="0"/>
      <w:divBdr>
        <w:top w:val="none" w:sz="0" w:space="0" w:color="auto"/>
        <w:left w:val="none" w:sz="0" w:space="0" w:color="auto"/>
        <w:bottom w:val="none" w:sz="0" w:space="0" w:color="auto"/>
        <w:right w:val="none" w:sz="0" w:space="0" w:color="auto"/>
      </w:divBdr>
    </w:div>
    <w:div w:id="519658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2751</Words>
  <Characters>15686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cp:lastPrinted>2005-12-21T06:57:00Z</cp:lastPrinted>
  <dcterms:created xsi:type="dcterms:W3CDTF">2013-12-10T10:29:00Z</dcterms:created>
  <dcterms:modified xsi:type="dcterms:W3CDTF">2013-12-10T10:29:00Z</dcterms:modified>
  <cp:category>ECHR Template</cp:category>
</cp:coreProperties>
</file>